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olor w:val="4472C4" w:themeColor="accent1"/>
        </w:rPr>
        <w:id w:val="-1224680663"/>
        <w:docPartObj>
          <w:docPartGallery w:val="Cover Pages"/>
          <w:docPartUnique/>
        </w:docPartObj>
      </w:sdtPr>
      <w:sdtEndPr>
        <w:rPr>
          <w:color w:val="auto"/>
        </w:rPr>
      </w:sdtEndPr>
      <w:sdtContent>
        <w:p w14:paraId="289424AC" w14:textId="147602E1" w:rsidR="00D943E7" w:rsidRDefault="00343F19">
          <w:pPr>
            <w:pStyle w:val="NoSpacing"/>
            <w:spacing w:before="1540" w:after="240"/>
            <w:jc w:val="center"/>
            <w:rPr>
              <w:color w:val="4472C4" w:themeColor="accent1"/>
            </w:rPr>
          </w:pPr>
          <w:r>
            <w:rPr>
              <w:rFonts w:eastAsiaTheme="minorHAnsi"/>
              <w:color w:val="4472C4" w:themeColor="accent1"/>
            </w:rPr>
            <w:t xml:space="preserve">             </w:t>
          </w:r>
          <w:r w:rsidR="00D943E7">
            <w:rPr>
              <w:noProof/>
            </w:rPr>
            <w:drawing>
              <wp:inline distT="0" distB="0" distL="0" distR="0" wp14:anchorId="656971E6" wp14:editId="3B24BE27">
                <wp:extent cx="2329795" cy="14789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3258" cy="1506505"/>
                        </a:xfrm>
                        <a:prstGeom prst="rect">
                          <a:avLst/>
                        </a:prstGeom>
                        <a:noFill/>
                        <a:ln>
                          <a:noFill/>
                        </a:ln>
                      </pic:spPr>
                    </pic:pic>
                  </a:graphicData>
                </a:graphic>
              </wp:inline>
            </w:drawing>
          </w:r>
        </w:p>
        <w:sdt>
          <w:sdtPr>
            <w:rPr>
              <w:rFonts w:ascii="Arial-BoldMT" w:eastAsiaTheme="minorHAnsi" w:hAnsi="Arial-BoldMT" w:cs="Arial-BoldMT"/>
              <w:b/>
              <w:bCs/>
              <w:sz w:val="40"/>
              <w:szCs w:val="40"/>
            </w:rPr>
            <w:alias w:val="Title"/>
            <w:tag w:val=""/>
            <w:id w:val="1735040861"/>
            <w:placeholder>
              <w:docPart w:val="E71223D31AAB4202ACECEE988A093577"/>
            </w:placeholder>
            <w:dataBinding w:prefixMappings="xmlns:ns0='http://purl.org/dc/elements/1.1/' xmlns:ns1='http://schemas.openxmlformats.org/package/2006/metadata/core-properties' " w:xpath="/ns1:coreProperties[1]/ns0:title[1]" w:storeItemID="{6C3C8BC8-F283-45AE-878A-BAB7291924A1}"/>
            <w:text/>
          </w:sdtPr>
          <w:sdtEndPr/>
          <w:sdtContent>
            <w:p w14:paraId="564FA3FD" w14:textId="608F6979" w:rsidR="00D943E7" w:rsidRDefault="00D943E7" w:rsidP="00D943E7">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sidRPr="00D943E7">
                <w:rPr>
                  <w:rFonts w:ascii="Arial-BoldMT" w:eastAsiaTheme="minorHAnsi" w:hAnsi="Arial-BoldMT" w:cs="Arial-BoldMT"/>
                  <w:b/>
                  <w:bCs/>
                  <w:sz w:val="40"/>
                  <w:szCs w:val="40"/>
                </w:rPr>
                <w:t>POLICY ON MATERIALITY OF RELATED PARTY</w:t>
              </w:r>
              <w:r w:rsidR="00C57D9A">
                <w:rPr>
                  <w:rFonts w:ascii="Arial-BoldMT" w:eastAsiaTheme="minorHAnsi" w:hAnsi="Arial-BoldMT" w:cs="Arial-BoldMT"/>
                  <w:b/>
                  <w:bCs/>
                  <w:sz w:val="40"/>
                  <w:szCs w:val="40"/>
                </w:rPr>
                <w:t xml:space="preserve"> </w:t>
              </w:r>
              <w:r w:rsidRPr="00D943E7">
                <w:rPr>
                  <w:rFonts w:ascii="Arial-BoldMT" w:eastAsiaTheme="minorHAnsi" w:hAnsi="Arial-BoldMT" w:cs="Arial-BoldMT"/>
                  <w:b/>
                  <w:bCs/>
                  <w:sz w:val="40"/>
                  <w:szCs w:val="40"/>
                </w:rPr>
                <w:t>TRANSACTIONS AND ON DEALING WITH</w:t>
              </w:r>
              <w:r>
                <w:rPr>
                  <w:rFonts w:ascii="Arial-BoldMT" w:eastAsiaTheme="minorHAnsi" w:hAnsi="Arial-BoldMT" w:cs="Arial-BoldMT"/>
                  <w:b/>
                  <w:bCs/>
                  <w:sz w:val="40"/>
                  <w:szCs w:val="40"/>
                </w:rPr>
                <w:t xml:space="preserve"> </w:t>
              </w:r>
              <w:r w:rsidRPr="00D943E7">
                <w:rPr>
                  <w:rFonts w:ascii="Arial-BoldMT" w:eastAsiaTheme="minorHAnsi" w:hAnsi="Arial-BoldMT" w:cs="Arial-BoldMT"/>
                  <w:b/>
                  <w:bCs/>
                  <w:sz w:val="40"/>
                  <w:szCs w:val="40"/>
                </w:rPr>
                <w:t>RELATED PARTY TRANSACTIONS</w:t>
              </w:r>
              <w:r w:rsidR="00551EF2">
                <w:rPr>
                  <w:rFonts w:ascii="Arial-BoldMT" w:eastAsiaTheme="minorHAnsi" w:hAnsi="Arial-BoldMT" w:cs="Arial-BoldMT"/>
                  <w:b/>
                  <w:bCs/>
                  <w:sz w:val="40"/>
                  <w:szCs w:val="40"/>
                </w:rPr>
                <w:t xml:space="preserve"> </w:t>
              </w:r>
              <w:r w:rsidR="00060316">
                <w:rPr>
                  <w:rFonts w:ascii="Arial-BoldMT" w:eastAsiaTheme="minorHAnsi" w:hAnsi="Arial-BoldMT" w:cs="Arial-BoldMT"/>
                  <w:b/>
                  <w:bCs/>
                  <w:sz w:val="40"/>
                  <w:szCs w:val="40"/>
                </w:rPr>
                <w:t xml:space="preserve">             </w:t>
              </w:r>
              <w:proofErr w:type="gramStart"/>
              <w:r w:rsidR="00060316">
                <w:rPr>
                  <w:rFonts w:ascii="Arial-BoldMT" w:eastAsiaTheme="minorHAnsi" w:hAnsi="Arial-BoldMT" w:cs="Arial-BoldMT"/>
                  <w:b/>
                  <w:bCs/>
                  <w:sz w:val="40"/>
                  <w:szCs w:val="40"/>
                </w:rPr>
                <w:t xml:space="preserve">   </w:t>
              </w:r>
              <w:r w:rsidR="00551EF2">
                <w:rPr>
                  <w:rFonts w:ascii="Arial-BoldMT" w:eastAsiaTheme="minorHAnsi" w:hAnsi="Arial-BoldMT" w:cs="Arial-BoldMT"/>
                  <w:b/>
                  <w:bCs/>
                  <w:sz w:val="40"/>
                  <w:szCs w:val="40"/>
                </w:rPr>
                <w:t>(</w:t>
              </w:r>
              <w:proofErr w:type="gramEnd"/>
              <w:r w:rsidR="00551EF2">
                <w:rPr>
                  <w:rFonts w:ascii="Arial-BoldMT" w:eastAsiaTheme="minorHAnsi" w:hAnsi="Arial-BoldMT" w:cs="Arial-BoldMT"/>
                  <w:b/>
                  <w:bCs/>
                  <w:sz w:val="40"/>
                  <w:szCs w:val="40"/>
                </w:rPr>
                <w:t>RPT POLICY)</w:t>
              </w:r>
            </w:p>
          </w:sdtContent>
        </w:sdt>
        <w:sdt>
          <w:sdtPr>
            <w:rPr>
              <w:rFonts w:ascii="Franklin Gothic Medium" w:eastAsiaTheme="minorHAnsi" w:hAnsi="Franklin Gothic Medium" w:cs="Arial"/>
            </w:rPr>
            <w:alias w:val="Subtitle"/>
            <w:tag w:val=""/>
            <w:id w:val="328029620"/>
            <w:placeholder>
              <w:docPart w:val="B31BF84920DF4839BFF1807C49B766CA"/>
            </w:placeholder>
            <w:dataBinding w:prefixMappings="xmlns:ns0='http://purl.org/dc/elements/1.1/' xmlns:ns1='http://schemas.openxmlformats.org/package/2006/metadata/core-properties' " w:xpath="/ns1:coreProperties[1]/ns0:subject[1]" w:storeItemID="{6C3C8BC8-F283-45AE-878A-BAB7291924A1}"/>
            <w:text/>
          </w:sdtPr>
          <w:sdtEndPr/>
          <w:sdtContent>
            <w:p w14:paraId="48530204" w14:textId="7C262AEF" w:rsidR="00D943E7" w:rsidRPr="00455DC4" w:rsidRDefault="00455DC4">
              <w:pPr>
                <w:pStyle w:val="NoSpacing"/>
                <w:jc w:val="center"/>
                <w:rPr>
                  <w:rFonts w:ascii="Franklin Gothic Medium" w:eastAsiaTheme="minorHAnsi" w:hAnsi="Franklin Gothic Medium" w:cs="Arial"/>
                </w:rPr>
              </w:pPr>
              <w:r w:rsidRPr="00455DC4">
                <w:rPr>
                  <w:rFonts w:ascii="Franklin Gothic Medium" w:eastAsiaTheme="minorHAnsi" w:hAnsi="Franklin Gothic Medium" w:cs="Arial"/>
                </w:rPr>
                <w:t>Evolution History</w:t>
              </w:r>
            </w:p>
          </w:sdtContent>
        </w:sdt>
        <w:tbl>
          <w:tblPr>
            <w:tblStyle w:val="TableGrid"/>
            <w:tblpPr w:leftFromText="180" w:rightFromText="180" w:vertAnchor="text" w:horzAnchor="margin" w:tblpXSpec="center" w:tblpY="190"/>
            <w:tblW w:w="0" w:type="auto"/>
            <w:tblLook w:val="04A0" w:firstRow="1" w:lastRow="0" w:firstColumn="1" w:lastColumn="0" w:noHBand="0" w:noVBand="1"/>
          </w:tblPr>
          <w:tblGrid>
            <w:gridCol w:w="4531"/>
            <w:gridCol w:w="4111"/>
          </w:tblGrid>
          <w:tr w:rsidR="00455DC4" w:rsidRPr="00455DC4" w14:paraId="61EE4CBD" w14:textId="77777777" w:rsidTr="00593F95">
            <w:trPr>
              <w:trHeight w:val="400"/>
            </w:trPr>
            <w:tc>
              <w:tcPr>
                <w:tcW w:w="4531" w:type="dxa"/>
              </w:tcPr>
              <w:p w14:paraId="15EDA8B4" w14:textId="2578FB57" w:rsidR="00455DC4" w:rsidRPr="00455DC4" w:rsidRDefault="00455DC4" w:rsidP="00455DC4">
                <w:pPr>
                  <w:rPr>
                    <w:rFonts w:ascii="Franklin Gothic Medium" w:hAnsi="Franklin Gothic Medium" w:cs="Arial"/>
                  </w:rPr>
                </w:pPr>
                <w:r w:rsidRPr="00455DC4">
                  <w:rPr>
                    <w:rFonts w:ascii="Franklin Gothic Medium" w:hAnsi="Franklin Gothic Medium" w:cs="Arial"/>
                  </w:rPr>
                  <w:t xml:space="preserve">Date of </w:t>
                </w:r>
                <w:r w:rsidR="009B0387">
                  <w:rPr>
                    <w:rFonts w:ascii="Franklin Gothic Medium" w:hAnsi="Franklin Gothic Medium" w:cs="Arial"/>
                  </w:rPr>
                  <w:t>First</w:t>
                </w:r>
                <w:r w:rsidRPr="00455DC4">
                  <w:rPr>
                    <w:rFonts w:ascii="Franklin Gothic Medium" w:hAnsi="Franklin Gothic Medium" w:cs="Arial"/>
                  </w:rPr>
                  <w:t xml:space="preserve"> Approval</w:t>
                </w:r>
              </w:p>
            </w:tc>
            <w:tc>
              <w:tcPr>
                <w:tcW w:w="4111" w:type="dxa"/>
              </w:tcPr>
              <w:p w14:paraId="596DBCBC" w14:textId="77777777" w:rsidR="00455DC4" w:rsidRPr="00455DC4" w:rsidRDefault="00455DC4" w:rsidP="00455DC4">
                <w:pPr>
                  <w:rPr>
                    <w:rFonts w:ascii="Franklin Gothic Medium" w:hAnsi="Franklin Gothic Medium" w:cs="Arial"/>
                  </w:rPr>
                </w:pPr>
                <w:r w:rsidRPr="00455DC4">
                  <w:rPr>
                    <w:rFonts w:ascii="Franklin Gothic Medium" w:hAnsi="Franklin Gothic Medium" w:cs="Arial"/>
                  </w:rPr>
                  <w:t>22</w:t>
                </w:r>
                <w:r w:rsidRPr="00455DC4">
                  <w:rPr>
                    <w:rFonts w:ascii="Franklin Gothic Medium" w:hAnsi="Franklin Gothic Medium" w:cs="Arial"/>
                    <w:vertAlign w:val="superscript"/>
                  </w:rPr>
                  <w:t>nd</w:t>
                </w:r>
                <w:r>
                  <w:rPr>
                    <w:rFonts w:ascii="Franklin Gothic Medium" w:hAnsi="Franklin Gothic Medium" w:cs="Arial"/>
                  </w:rPr>
                  <w:t xml:space="preserve"> </w:t>
                </w:r>
                <w:r w:rsidRPr="00455DC4">
                  <w:rPr>
                    <w:rFonts w:ascii="Franklin Gothic Medium" w:hAnsi="Franklin Gothic Medium" w:cs="Arial"/>
                  </w:rPr>
                  <w:t>May, 2014</w:t>
                </w:r>
              </w:p>
            </w:tc>
          </w:tr>
          <w:tr w:rsidR="00D079BA" w:rsidRPr="00455DC4" w14:paraId="363FEFC2" w14:textId="77777777" w:rsidTr="00593F95">
            <w:trPr>
              <w:trHeight w:val="826"/>
            </w:trPr>
            <w:tc>
              <w:tcPr>
                <w:tcW w:w="4531" w:type="dxa"/>
              </w:tcPr>
              <w:p w14:paraId="02B40BA0" w14:textId="4FEF9ED5" w:rsidR="00D079BA" w:rsidRPr="00455DC4" w:rsidRDefault="009B0387" w:rsidP="00D079BA">
                <w:pPr>
                  <w:rPr>
                    <w:rFonts w:ascii="Franklin Gothic Medium" w:hAnsi="Franklin Gothic Medium" w:cs="Arial"/>
                  </w:rPr>
                </w:pPr>
                <w:r>
                  <w:rPr>
                    <w:rFonts w:ascii="Franklin Gothic Medium" w:hAnsi="Franklin Gothic Medium" w:cs="Arial"/>
                  </w:rPr>
                  <w:t>Date of current amendment/a</w:t>
                </w:r>
                <w:r w:rsidR="00D079BA" w:rsidRPr="00455DC4">
                  <w:rPr>
                    <w:rFonts w:ascii="Franklin Gothic Medium" w:hAnsi="Franklin Gothic Medium" w:cs="Arial"/>
                  </w:rPr>
                  <w:t xml:space="preserve">pproved </w:t>
                </w:r>
              </w:p>
            </w:tc>
            <w:tc>
              <w:tcPr>
                <w:tcW w:w="4111" w:type="dxa"/>
              </w:tcPr>
              <w:p w14:paraId="502EA675" w14:textId="7D851B79" w:rsidR="00D079BA" w:rsidRPr="00455DC4" w:rsidRDefault="00F3193F" w:rsidP="00D079BA">
                <w:pPr>
                  <w:rPr>
                    <w:rFonts w:ascii="Franklin Gothic Medium" w:hAnsi="Franklin Gothic Medium" w:cs="Arial"/>
                  </w:rPr>
                </w:pPr>
                <w:r>
                  <w:rPr>
                    <w:rFonts w:ascii="Franklin Gothic Medium" w:hAnsi="Franklin Gothic Medium" w:cs="Arial"/>
                  </w:rPr>
                  <w:t>06</w:t>
                </w:r>
                <w:r w:rsidRPr="00F3193F">
                  <w:rPr>
                    <w:rFonts w:ascii="Franklin Gothic Medium" w:hAnsi="Franklin Gothic Medium" w:cs="Arial"/>
                    <w:vertAlign w:val="superscript"/>
                  </w:rPr>
                  <w:t>th</w:t>
                </w:r>
                <w:r>
                  <w:rPr>
                    <w:rFonts w:ascii="Franklin Gothic Medium" w:hAnsi="Franklin Gothic Medium" w:cs="Arial"/>
                  </w:rPr>
                  <w:t xml:space="preserve"> February, 2026</w:t>
                </w:r>
              </w:p>
              <w:p w14:paraId="28B4AC3A" w14:textId="77777777" w:rsidR="00D079BA" w:rsidRPr="00455DC4" w:rsidRDefault="00D079BA" w:rsidP="00D079BA">
                <w:pPr>
                  <w:rPr>
                    <w:rFonts w:ascii="Franklin Gothic Medium" w:hAnsi="Franklin Gothic Medium" w:cs="Arial"/>
                  </w:rPr>
                </w:pPr>
              </w:p>
            </w:tc>
          </w:tr>
        </w:tbl>
        <w:p w14:paraId="454606ED" w14:textId="396AC281" w:rsidR="00D943E7" w:rsidRDefault="00D943E7">
          <w:r>
            <w:rPr>
              <w:noProof/>
              <w:color w:val="4472C4" w:themeColor="accent1"/>
            </w:rPr>
            <mc:AlternateContent>
              <mc:Choice Requires="wps">
                <w:drawing>
                  <wp:anchor distT="0" distB="0" distL="114300" distR="114300" simplePos="0" relativeHeight="251659264" behindDoc="0" locked="0" layoutInCell="1" allowOverlap="1" wp14:anchorId="49E7E03E" wp14:editId="02FB1CCD">
                    <wp:simplePos x="0" y="0"/>
                    <wp:positionH relativeFrom="margin">
                      <wp:posOffset>76200</wp:posOffset>
                    </wp:positionH>
                    <wp:positionV relativeFrom="page">
                      <wp:posOffset>7530465</wp:posOffset>
                    </wp:positionV>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B6FF53" w14:textId="3F6C734A" w:rsidR="00D943E7" w:rsidRDefault="00A21598" w:rsidP="00D943E7">
                                <w:pPr>
                                  <w:pStyle w:val="NoSpacing"/>
                                  <w:jc w:val="center"/>
                                  <w:rPr>
                                    <w:color w:val="4472C4" w:themeColor="accent1"/>
                                  </w:rPr>
                                </w:pPr>
                                <w:sdt>
                                  <w:sdtPr>
                                    <w:rPr>
                                      <w:rFonts w:ascii="TimesNewRomanPS-BoldMT" w:eastAsiaTheme="minorHAnsi" w:hAnsi="TimesNewRomanPS-BoldMT" w:cs="TimesNewRomanPS-BoldMT"/>
                                      <w:b/>
                                      <w:bCs/>
                                      <w:sz w:val="56"/>
                                      <w:szCs w:val="56"/>
                                    </w:rPr>
                                    <w:alias w:val="Company"/>
                                    <w:tag w:val=""/>
                                    <w:id w:val="1390145197"/>
                                    <w:dataBinding w:prefixMappings="xmlns:ns0='http://schemas.openxmlformats.org/officeDocument/2006/extended-properties' " w:xpath="/ns0:Properties[1]/ns0:Company[1]" w:storeItemID="{6668398D-A668-4E3E-A5EB-62B293D839F1}"/>
                                    <w:text/>
                                  </w:sdtPr>
                                  <w:sdtEndPr/>
                                  <w:sdtContent>
                                    <w:r w:rsidR="00D943E7" w:rsidRPr="00D943E7">
                                      <w:rPr>
                                        <w:rFonts w:ascii="TimesNewRomanPS-BoldMT" w:eastAsiaTheme="minorHAnsi" w:hAnsi="TimesNewRomanPS-BoldMT" w:cs="TimesNewRomanPS-BoldMT"/>
                                        <w:b/>
                                        <w:bCs/>
                                        <w:sz w:val="56"/>
                                        <w:szCs w:val="56"/>
                                      </w:rPr>
                                      <w:t>SHARDA MOTOR INDUSTRIES</w:t>
                                    </w:r>
                                    <w:r w:rsidR="005471A2">
                                      <w:rPr>
                                        <w:rFonts w:ascii="TimesNewRomanPS-BoldMT" w:eastAsiaTheme="minorHAnsi" w:hAnsi="TimesNewRomanPS-BoldMT" w:cs="TimesNewRomanPS-BoldMT"/>
                                        <w:b/>
                                        <w:bCs/>
                                        <w:sz w:val="56"/>
                                        <w:szCs w:val="56"/>
                                      </w:rPr>
                                      <w:t xml:space="preserve"> </w:t>
                                    </w:r>
                                    <w:r w:rsidR="00D943E7" w:rsidRPr="00D943E7">
                                      <w:rPr>
                                        <w:rFonts w:ascii="TimesNewRomanPS-BoldMT" w:eastAsiaTheme="minorHAnsi" w:hAnsi="TimesNewRomanPS-BoldMT" w:cs="TimesNewRomanPS-BoldMT"/>
                                        <w:b/>
                                        <w:bCs/>
                                        <w:sz w:val="56"/>
                                        <w:szCs w:val="56"/>
                                      </w:rPr>
                                      <w:t>LIMITED</w:t>
                                    </w:r>
                                  </w:sdtContent>
                                </w:sdt>
                              </w:p>
                              <w:p w14:paraId="196DE919" w14:textId="5D2BC8DE" w:rsidR="00D943E7" w:rsidRDefault="00A21598" w:rsidP="00D943E7">
                                <w:pPr>
                                  <w:pStyle w:val="NoSpacing"/>
                                  <w:jc w:val="center"/>
                                  <w:rPr>
                                    <w:color w:val="4472C4" w:themeColor="accent1"/>
                                  </w:rPr>
                                </w:pPr>
                                <w:sdt>
                                  <w:sdtPr>
                                    <w:rPr>
                                      <w:rFonts w:ascii="ArialMT" w:eastAsiaTheme="minorHAnsi" w:hAnsi="ArialMT" w:cs="ArialMT"/>
                                      <w:sz w:val="24"/>
                                      <w:szCs w:val="24"/>
                                    </w:rPr>
                                    <w:alias w:val="Address"/>
                                    <w:tag w:val=""/>
                                    <w:id w:val="-726379553"/>
                                    <w:dataBinding w:prefixMappings="xmlns:ns0='http://schemas.microsoft.com/office/2006/coverPageProps' " w:xpath="/ns0:CoverPageProperties[1]/ns0:CompanyAddress[1]" w:storeItemID="{55AF091B-3C7A-41E3-B477-F2FDAA23CFDA}"/>
                                    <w:text/>
                                  </w:sdtPr>
                                  <w:sdtEndPr/>
                                  <w:sdtContent>
                                    <w:r w:rsidR="00D943E7" w:rsidRPr="00D943E7">
                                      <w:rPr>
                                        <w:rFonts w:ascii="ArialMT" w:eastAsiaTheme="minorHAnsi" w:hAnsi="ArialMT" w:cs="ArialMT"/>
                                        <w:sz w:val="24"/>
                                        <w:szCs w:val="24"/>
                                      </w:rPr>
                                      <w:t>Regd. Off: D- 188, Okhla Industrial Area,</w:t>
                                    </w:r>
                                    <w:r w:rsidR="00D943E7">
                                      <w:rPr>
                                        <w:rFonts w:ascii="ArialMT" w:eastAsiaTheme="minorHAnsi" w:hAnsi="ArialMT" w:cs="ArialMT"/>
                                        <w:sz w:val="24"/>
                                        <w:szCs w:val="24"/>
                                      </w:rPr>
                                      <w:t xml:space="preserve"> </w:t>
                                    </w:r>
                                    <w:r w:rsidR="00D943E7" w:rsidRPr="00D943E7">
                                      <w:rPr>
                                        <w:rFonts w:ascii="ArialMT" w:eastAsiaTheme="minorHAnsi" w:hAnsi="ArialMT" w:cs="ArialMT"/>
                                        <w:sz w:val="24"/>
                                        <w:szCs w:val="24"/>
                                      </w:rPr>
                                      <w:t>Phase I, New Delhi -110020CIN: L74899DL1986PLC023202</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9E7E03E" id="_x0000_t202" coordsize="21600,21600" o:spt="202" path="m,l,21600r21600,l21600,xe">
                    <v:stroke joinstyle="miter"/>
                    <v:path gradientshapeok="t" o:connecttype="rect"/>
                  </v:shapetype>
                  <v:shape id="Text Box 142" o:spid="_x0000_s1026" type="#_x0000_t202" style="position:absolute;margin-left:6pt;margin-top:592.95pt;width:516pt;height:43.9pt;z-index:251659264;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" filled="f" stroked="f" strokeweight=".5pt">
                    <v:textbox style="mso-fit-shape-to-text:t" inset="0,0,0,0">
                      <w:txbxContent>
                        <w:p w14:paraId="3AB6FF53" w14:textId="3F6C734A" w:rsidR="00D943E7" w:rsidRDefault="00A21598" w:rsidP="00D943E7">
                          <w:pPr>
                            <w:pStyle w:val="NoSpacing"/>
                            <w:jc w:val="center"/>
                            <w:rPr>
                              <w:color w:val="4472C4" w:themeColor="accent1"/>
                            </w:rPr>
                          </w:pPr>
                          <w:sdt>
                            <w:sdtPr>
                              <w:rPr>
                                <w:rFonts w:ascii="TimesNewRomanPS-BoldMT" w:eastAsiaTheme="minorHAnsi" w:hAnsi="TimesNewRomanPS-BoldMT" w:cs="TimesNewRomanPS-BoldMT"/>
                                <w:b/>
                                <w:bCs/>
                                <w:sz w:val="56"/>
                                <w:szCs w:val="56"/>
                              </w:rPr>
                              <w:alias w:val="Company"/>
                              <w:tag w:val=""/>
                              <w:id w:val="1390145197"/>
                              <w:dataBinding w:prefixMappings="xmlns:ns0='http://schemas.openxmlformats.org/officeDocument/2006/extended-properties' " w:xpath="/ns0:Properties[1]/ns0:Company[1]" w:storeItemID="{6668398D-A668-4E3E-A5EB-62B293D839F1}"/>
                              <w:text/>
                            </w:sdtPr>
                            <w:sdtEndPr/>
                            <w:sdtContent>
                              <w:r w:rsidR="00D943E7" w:rsidRPr="00D943E7">
                                <w:rPr>
                                  <w:rFonts w:ascii="TimesNewRomanPS-BoldMT" w:eastAsiaTheme="minorHAnsi" w:hAnsi="TimesNewRomanPS-BoldMT" w:cs="TimesNewRomanPS-BoldMT"/>
                                  <w:b/>
                                  <w:bCs/>
                                  <w:sz w:val="56"/>
                                  <w:szCs w:val="56"/>
                                </w:rPr>
                                <w:t>SHARDA MOTOR INDUSTRIES</w:t>
                              </w:r>
                              <w:r w:rsidR="005471A2">
                                <w:rPr>
                                  <w:rFonts w:ascii="TimesNewRomanPS-BoldMT" w:eastAsiaTheme="minorHAnsi" w:hAnsi="TimesNewRomanPS-BoldMT" w:cs="TimesNewRomanPS-BoldMT"/>
                                  <w:b/>
                                  <w:bCs/>
                                  <w:sz w:val="56"/>
                                  <w:szCs w:val="56"/>
                                </w:rPr>
                                <w:t xml:space="preserve"> </w:t>
                              </w:r>
                              <w:r w:rsidR="00D943E7" w:rsidRPr="00D943E7">
                                <w:rPr>
                                  <w:rFonts w:ascii="TimesNewRomanPS-BoldMT" w:eastAsiaTheme="minorHAnsi" w:hAnsi="TimesNewRomanPS-BoldMT" w:cs="TimesNewRomanPS-BoldMT"/>
                                  <w:b/>
                                  <w:bCs/>
                                  <w:sz w:val="56"/>
                                  <w:szCs w:val="56"/>
                                </w:rPr>
                                <w:t>LIMITED</w:t>
                              </w:r>
                            </w:sdtContent>
                          </w:sdt>
                        </w:p>
                        <w:p w14:paraId="196DE919" w14:textId="5D2BC8DE" w:rsidR="00D943E7" w:rsidRDefault="00A21598" w:rsidP="00D943E7">
                          <w:pPr>
                            <w:pStyle w:val="NoSpacing"/>
                            <w:jc w:val="center"/>
                            <w:rPr>
                              <w:color w:val="4472C4" w:themeColor="accent1"/>
                            </w:rPr>
                          </w:pPr>
                          <w:sdt>
                            <w:sdtPr>
                              <w:rPr>
                                <w:rFonts w:ascii="ArialMT" w:eastAsiaTheme="minorHAnsi" w:hAnsi="ArialMT" w:cs="ArialMT"/>
                                <w:sz w:val="24"/>
                                <w:szCs w:val="24"/>
                              </w:rPr>
                              <w:alias w:val="Address"/>
                              <w:tag w:val=""/>
                              <w:id w:val="-726379553"/>
                              <w:dataBinding w:prefixMappings="xmlns:ns0='http://schemas.microsoft.com/office/2006/coverPageProps' " w:xpath="/ns0:CoverPageProperties[1]/ns0:CompanyAddress[1]" w:storeItemID="{55AF091B-3C7A-41E3-B477-F2FDAA23CFDA}"/>
                              <w:text/>
                            </w:sdtPr>
                            <w:sdtEndPr/>
                            <w:sdtContent>
                              <w:r w:rsidR="00D943E7" w:rsidRPr="00D943E7">
                                <w:rPr>
                                  <w:rFonts w:ascii="ArialMT" w:eastAsiaTheme="minorHAnsi" w:hAnsi="ArialMT" w:cs="ArialMT"/>
                                  <w:sz w:val="24"/>
                                  <w:szCs w:val="24"/>
                                </w:rPr>
                                <w:t>Regd. Off: D- 188, Okhla Industrial Area,</w:t>
                              </w:r>
                              <w:r w:rsidR="00D943E7">
                                <w:rPr>
                                  <w:rFonts w:ascii="ArialMT" w:eastAsiaTheme="minorHAnsi" w:hAnsi="ArialMT" w:cs="ArialMT"/>
                                  <w:sz w:val="24"/>
                                  <w:szCs w:val="24"/>
                                </w:rPr>
                                <w:t xml:space="preserve"> </w:t>
                              </w:r>
                              <w:r w:rsidR="00D943E7" w:rsidRPr="00D943E7">
                                <w:rPr>
                                  <w:rFonts w:ascii="ArialMT" w:eastAsiaTheme="minorHAnsi" w:hAnsi="ArialMT" w:cs="ArialMT"/>
                                  <w:sz w:val="24"/>
                                  <w:szCs w:val="24"/>
                                </w:rPr>
                                <w:t>Phase I, New Delhi -110020CIN: L74899DL1986PLC023202</w:t>
                              </w:r>
                            </w:sdtContent>
                          </w:sdt>
                        </w:p>
                      </w:txbxContent>
                    </v:textbox>
                    <w10:wrap anchorx="margin" anchory="page"/>
                  </v:shape>
                </w:pict>
              </mc:Fallback>
            </mc:AlternateContent>
          </w:r>
          <w:r>
            <w:br w:type="page"/>
          </w:r>
        </w:p>
      </w:sdtContent>
    </w:sdt>
    <w:p w14:paraId="69251E1A" w14:textId="10A5D76C" w:rsidR="00A47FC9" w:rsidRPr="008C1D85" w:rsidRDefault="000666F1" w:rsidP="000666F1">
      <w:pPr>
        <w:pStyle w:val="ListParagraph"/>
        <w:numPr>
          <w:ilvl w:val="0"/>
          <w:numId w:val="1"/>
        </w:numPr>
        <w:ind w:left="450" w:hanging="450"/>
        <w:rPr>
          <w:rFonts w:ascii="Arial" w:hAnsi="Arial" w:cs="Arial"/>
          <w:b/>
          <w:bCs/>
          <w:u w:val="single"/>
        </w:rPr>
      </w:pPr>
      <w:r w:rsidRPr="008C1D85">
        <w:rPr>
          <w:rFonts w:ascii="Arial" w:hAnsi="Arial" w:cs="Arial"/>
          <w:b/>
          <w:bCs/>
          <w:u w:val="single"/>
        </w:rPr>
        <w:lastRenderedPageBreak/>
        <w:t>Background</w:t>
      </w:r>
    </w:p>
    <w:p w14:paraId="663987F1" w14:textId="77777777" w:rsidR="000666F1" w:rsidRPr="002D4BCA" w:rsidRDefault="000666F1" w:rsidP="000666F1">
      <w:pPr>
        <w:pStyle w:val="ListParagraph"/>
        <w:ind w:left="450"/>
        <w:rPr>
          <w:rFonts w:ascii="Arial" w:hAnsi="Arial" w:cs="Arial"/>
          <w:b/>
          <w:bCs/>
        </w:rPr>
      </w:pPr>
    </w:p>
    <w:p w14:paraId="4480B984" w14:textId="35F2EC4D" w:rsidR="000666F1" w:rsidRPr="002D4BCA" w:rsidRDefault="000666F1" w:rsidP="000666F1">
      <w:pPr>
        <w:pStyle w:val="ListParagraph"/>
        <w:ind w:left="360"/>
        <w:jc w:val="both"/>
        <w:rPr>
          <w:rFonts w:ascii="Arial" w:hAnsi="Arial" w:cs="Arial"/>
        </w:rPr>
      </w:pPr>
      <w:r w:rsidRPr="002D4BCA">
        <w:rPr>
          <w:rFonts w:ascii="Arial" w:hAnsi="Arial" w:cs="Arial"/>
        </w:rPr>
        <w:t>Related party transactions can present a potential or actual conflict of interest which may be against the best interest of the company and its shareholders. Considering the requirements for approval of related party transactions as prescribed under the Companies Act, 2013 (“Act”) read with the Rules framed there under and Regulation 23 of the Securities and Exchange Board of India (Listing Obligations and Disclosure Requirements) Regulations, 2015 (“</w:t>
      </w:r>
      <w:r w:rsidR="00792F3D">
        <w:rPr>
          <w:rFonts w:ascii="Arial" w:hAnsi="Arial" w:cs="Arial"/>
        </w:rPr>
        <w:t xml:space="preserve">SEBI </w:t>
      </w:r>
      <w:r w:rsidRPr="002D4BCA">
        <w:rPr>
          <w:rFonts w:ascii="Arial" w:hAnsi="Arial" w:cs="Arial"/>
        </w:rPr>
        <w:t xml:space="preserve">Listing Regulations”), Sharda Motors Industries Limited (“SMIL” or “the Company”) is required to formulate a Policy </w:t>
      </w:r>
      <w:r w:rsidR="00E416B1">
        <w:rPr>
          <w:rFonts w:ascii="Arial" w:hAnsi="Arial" w:cs="Arial"/>
        </w:rPr>
        <w:t>on materiality of related party transactions and on dealing with related party transactions</w:t>
      </w:r>
      <w:r w:rsidRPr="002D4BCA">
        <w:rPr>
          <w:rFonts w:ascii="Arial" w:hAnsi="Arial" w:cs="Arial"/>
        </w:rPr>
        <w:t>.</w:t>
      </w:r>
    </w:p>
    <w:p w14:paraId="6AE9780F" w14:textId="77777777" w:rsidR="000666F1" w:rsidRPr="002D4BCA" w:rsidRDefault="000666F1" w:rsidP="000666F1">
      <w:pPr>
        <w:pStyle w:val="ListParagraph"/>
        <w:ind w:left="360"/>
        <w:jc w:val="both"/>
        <w:rPr>
          <w:rFonts w:ascii="Arial" w:hAnsi="Arial" w:cs="Arial"/>
        </w:rPr>
      </w:pPr>
    </w:p>
    <w:p w14:paraId="4730B6A5" w14:textId="31C13563" w:rsidR="00A47FC9" w:rsidRPr="002D4BCA" w:rsidRDefault="000666F1" w:rsidP="000666F1">
      <w:pPr>
        <w:pStyle w:val="ListParagraph"/>
        <w:ind w:left="360"/>
        <w:jc w:val="both"/>
        <w:rPr>
          <w:rFonts w:ascii="Arial" w:hAnsi="Arial" w:cs="Arial"/>
        </w:rPr>
      </w:pPr>
      <w:r w:rsidRPr="002D4BCA">
        <w:rPr>
          <w:rFonts w:ascii="Arial" w:hAnsi="Arial" w:cs="Arial"/>
        </w:rPr>
        <w:t>In light of the above, SMIL has framed this combined Policy on Related Party Transactions (“Policy”) and to ensure high standards of Corporate Governance while dealing with Related Parties.</w:t>
      </w:r>
    </w:p>
    <w:p w14:paraId="5C29DE98" w14:textId="4D4D5FEF" w:rsidR="000666F1" w:rsidRPr="002D4BCA" w:rsidRDefault="000666F1" w:rsidP="000666F1">
      <w:pPr>
        <w:pStyle w:val="ListParagraph"/>
        <w:ind w:left="360"/>
        <w:jc w:val="both"/>
        <w:rPr>
          <w:rFonts w:ascii="Arial" w:hAnsi="Arial" w:cs="Arial"/>
        </w:rPr>
      </w:pPr>
    </w:p>
    <w:p w14:paraId="782999CD" w14:textId="276ED784" w:rsidR="006159D9" w:rsidRPr="008C1D85" w:rsidRDefault="006159D9" w:rsidP="006159D9">
      <w:pPr>
        <w:pStyle w:val="ListParagraph"/>
        <w:numPr>
          <w:ilvl w:val="0"/>
          <w:numId w:val="1"/>
        </w:numPr>
        <w:ind w:left="450" w:hanging="450"/>
        <w:rPr>
          <w:rFonts w:ascii="Arial" w:hAnsi="Arial" w:cs="Arial"/>
          <w:b/>
          <w:bCs/>
          <w:u w:val="single"/>
        </w:rPr>
      </w:pPr>
      <w:r w:rsidRPr="008C1D85">
        <w:rPr>
          <w:rFonts w:ascii="Arial" w:hAnsi="Arial" w:cs="Arial"/>
          <w:b/>
          <w:bCs/>
          <w:u w:val="single"/>
        </w:rPr>
        <w:t>Scope &amp; Inclusion</w:t>
      </w:r>
    </w:p>
    <w:p w14:paraId="624EA902" w14:textId="7EB6AB8E" w:rsidR="006159D9" w:rsidRDefault="006159D9" w:rsidP="006159D9">
      <w:pPr>
        <w:pStyle w:val="ListParagraph"/>
        <w:ind w:left="450"/>
        <w:rPr>
          <w:rFonts w:ascii="Arial" w:hAnsi="Arial" w:cs="Arial"/>
          <w:b/>
          <w:bCs/>
        </w:rPr>
      </w:pPr>
    </w:p>
    <w:p w14:paraId="40E07420" w14:textId="05045C36" w:rsidR="006159D9" w:rsidRPr="006159D9" w:rsidRDefault="006159D9" w:rsidP="006159D9">
      <w:pPr>
        <w:pStyle w:val="ListParagraph"/>
        <w:ind w:left="450"/>
        <w:jc w:val="both"/>
        <w:rPr>
          <w:rFonts w:ascii="Arial" w:hAnsi="Arial" w:cs="Arial"/>
        </w:rPr>
      </w:pPr>
      <w:r w:rsidRPr="006159D9">
        <w:rPr>
          <w:rFonts w:ascii="Arial" w:hAnsi="Arial" w:cs="Arial"/>
        </w:rPr>
        <w:t>This policy sets definition of materiality of related party transactions and dealing with related party transactions.</w:t>
      </w:r>
    </w:p>
    <w:p w14:paraId="2C663130" w14:textId="02CBEF30" w:rsidR="000666F1" w:rsidRDefault="000666F1" w:rsidP="000666F1">
      <w:pPr>
        <w:pStyle w:val="ListParagraph"/>
        <w:ind w:left="360"/>
        <w:jc w:val="both"/>
        <w:rPr>
          <w:rFonts w:ascii="Arial" w:hAnsi="Arial" w:cs="Arial"/>
        </w:rPr>
      </w:pPr>
    </w:p>
    <w:p w14:paraId="4DE8BDC5" w14:textId="77777777" w:rsidR="00BA1A62" w:rsidRPr="008C1D85" w:rsidRDefault="000666F1" w:rsidP="00BA1A62">
      <w:pPr>
        <w:pStyle w:val="ListParagraph"/>
        <w:numPr>
          <w:ilvl w:val="0"/>
          <w:numId w:val="1"/>
        </w:numPr>
        <w:ind w:left="450" w:hanging="450"/>
        <w:rPr>
          <w:rFonts w:ascii="Arial" w:hAnsi="Arial" w:cs="Arial"/>
          <w:b/>
          <w:bCs/>
          <w:u w:val="single"/>
        </w:rPr>
      </w:pPr>
      <w:r w:rsidRPr="008C1D85">
        <w:rPr>
          <w:rFonts w:ascii="Arial" w:hAnsi="Arial" w:cs="Arial"/>
          <w:b/>
          <w:bCs/>
          <w:u w:val="single"/>
        </w:rPr>
        <w:t>Definitions</w:t>
      </w:r>
    </w:p>
    <w:p w14:paraId="483074D0" w14:textId="77777777" w:rsidR="00BA1A62" w:rsidRPr="002D4BCA" w:rsidRDefault="00BA1A62" w:rsidP="00BA1A62">
      <w:pPr>
        <w:pStyle w:val="ListParagraph"/>
        <w:ind w:left="450"/>
        <w:rPr>
          <w:rFonts w:ascii="Arial" w:hAnsi="Arial" w:cs="Arial"/>
          <w:b/>
          <w:bCs/>
        </w:rPr>
      </w:pPr>
    </w:p>
    <w:p w14:paraId="7F2D44F2" w14:textId="72A01138" w:rsidR="00A47FC9" w:rsidRPr="002D4BCA" w:rsidRDefault="00BA1A62" w:rsidP="00BA1A62">
      <w:pPr>
        <w:pStyle w:val="ListParagraph"/>
        <w:ind w:left="450"/>
        <w:rPr>
          <w:rFonts w:ascii="Arial" w:hAnsi="Arial" w:cs="Arial"/>
        </w:rPr>
      </w:pPr>
      <w:r w:rsidRPr="002D4BCA">
        <w:rPr>
          <w:rFonts w:ascii="Arial" w:hAnsi="Arial" w:cs="Arial"/>
        </w:rPr>
        <w:t>All terms used in this Policy will have the meanings as assigned to them under the Act and the Rules made thereunder, SEBI Listing Regulations applicable Accounting Standards, as amended from time to time.</w:t>
      </w:r>
    </w:p>
    <w:p w14:paraId="01C19466" w14:textId="7A66B4B0" w:rsidR="00BA1A62" w:rsidRPr="002D4BCA" w:rsidRDefault="00BA1A62" w:rsidP="00BA1A62">
      <w:pPr>
        <w:pStyle w:val="ListParagraph"/>
        <w:ind w:left="450"/>
        <w:rPr>
          <w:rFonts w:ascii="Arial" w:hAnsi="Arial" w:cs="Arial"/>
        </w:rPr>
      </w:pPr>
    </w:p>
    <w:p w14:paraId="2672D7ED" w14:textId="77777777" w:rsidR="00BA1A62" w:rsidRPr="008C1D85" w:rsidRDefault="00BA1A62" w:rsidP="00BA1A62">
      <w:pPr>
        <w:pStyle w:val="ListParagraph"/>
        <w:numPr>
          <w:ilvl w:val="0"/>
          <w:numId w:val="1"/>
        </w:numPr>
        <w:ind w:left="450" w:hanging="450"/>
        <w:rPr>
          <w:rFonts w:ascii="Arial" w:hAnsi="Arial" w:cs="Arial"/>
          <w:b/>
          <w:bCs/>
          <w:u w:val="single"/>
        </w:rPr>
      </w:pPr>
      <w:r w:rsidRPr="008C1D85">
        <w:rPr>
          <w:rFonts w:ascii="Arial" w:hAnsi="Arial" w:cs="Arial"/>
          <w:b/>
          <w:bCs/>
          <w:u w:val="single"/>
        </w:rPr>
        <w:t>Materiality Thresholds</w:t>
      </w:r>
    </w:p>
    <w:p w14:paraId="06F5B4B9" w14:textId="77777777" w:rsidR="00BA1A62" w:rsidRPr="002D4BCA" w:rsidRDefault="00BA1A62" w:rsidP="00BA1A62">
      <w:pPr>
        <w:pStyle w:val="ListParagraph"/>
        <w:ind w:left="450"/>
        <w:rPr>
          <w:rFonts w:ascii="Arial" w:hAnsi="Arial" w:cs="Arial"/>
          <w:b/>
          <w:bCs/>
        </w:rPr>
      </w:pPr>
    </w:p>
    <w:p w14:paraId="617CD2C5" w14:textId="1368F864" w:rsidR="00BA1A62" w:rsidRPr="002D4BCA" w:rsidRDefault="00BA1A62" w:rsidP="00BA1A62">
      <w:pPr>
        <w:pStyle w:val="ListParagraph"/>
        <w:ind w:left="450"/>
        <w:jc w:val="both"/>
        <w:rPr>
          <w:rFonts w:ascii="Arial" w:hAnsi="Arial" w:cs="Arial"/>
        </w:rPr>
      </w:pPr>
      <w:r w:rsidRPr="002D4BCA">
        <w:rPr>
          <w:rFonts w:ascii="Arial" w:hAnsi="Arial" w:cs="Arial"/>
        </w:rPr>
        <w:t>Regulation 23 of the SEBI Listing Regulations requires a company to lay down materiality thresholds for transactions beyond which approval of the shareholders through a resolution will be required. SMIL has fixed its materiality thresholds at the level prescribed under explanation to Regulation 23(1) of the SEBI Listing Regulations as under:</w:t>
      </w:r>
    </w:p>
    <w:p w14:paraId="3D0DD18C" w14:textId="562CAAB2" w:rsidR="00BA1A62" w:rsidRPr="002D4BCA" w:rsidRDefault="00BA1A62" w:rsidP="00BA1A62">
      <w:pPr>
        <w:pStyle w:val="ListParagraph"/>
        <w:ind w:left="450"/>
        <w:jc w:val="both"/>
        <w:rPr>
          <w:rFonts w:ascii="Arial" w:hAnsi="Arial" w:cs="Arial"/>
        </w:rPr>
      </w:pPr>
    </w:p>
    <w:p w14:paraId="0A9D4968" w14:textId="7869C86A" w:rsidR="00BA1A62" w:rsidRDefault="00BA1A62" w:rsidP="002D4BCA">
      <w:pPr>
        <w:pStyle w:val="ListParagraph"/>
        <w:numPr>
          <w:ilvl w:val="0"/>
          <w:numId w:val="15"/>
        </w:numPr>
        <w:jc w:val="both"/>
        <w:rPr>
          <w:rFonts w:ascii="Arial" w:hAnsi="Arial" w:cs="Arial"/>
        </w:rPr>
      </w:pPr>
      <w:r w:rsidRPr="002D4BCA">
        <w:rPr>
          <w:rFonts w:ascii="Arial" w:hAnsi="Arial" w:cs="Arial"/>
        </w:rPr>
        <w:t>In case of Transaction involving payments made to a Related Party with respect to brand usage or royalty, if the Transaction(s) to be entered into individually or taken together with previous transactions during a financial year, exceeds 5 percent (5%) of the annual consolidated turnover of the Company as per its last audited financial statements.</w:t>
      </w:r>
    </w:p>
    <w:p w14:paraId="048B45C0" w14:textId="77777777" w:rsidR="00430838" w:rsidRDefault="00430838" w:rsidP="00430838">
      <w:pPr>
        <w:pStyle w:val="ListParagraph"/>
        <w:ind w:left="1170"/>
        <w:jc w:val="both"/>
        <w:rPr>
          <w:rFonts w:ascii="Arial" w:hAnsi="Arial" w:cs="Arial"/>
        </w:rPr>
      </w:pPr>
    </w:p>
    <w:p w14:paraId="63C78484" w14:textId="718D86FE" w:rsidR="00D079BA" w:rsidRDefault="00E83BB1" w:rsidP="002D4BCA">
      <w:pPr>
        <w:pStyle w:val="ListParagraph"/>
        <w:numPr>
          <w:ilvl w:val="0"/>
          <w:numId w:val="15"/>
        </w:numPr>
        <w:jc w:val="both"/>
        <w:rPr>
          <w:rFonts w:ascii="Arial" w:hAnsi="Arial" w:cs="Arial"/>
        </w:rPr>
      </w:pPr>
      <w:r>
        <w:rPr>
          <w:rFonts w:ascii="Arial" w:hAnsi="Arial" w:cs="Arial"/>
        </w:rPr>
        <w:t>Any other case</w:t>
      </w:r>
      <w:r w:rsidR="007C02F1">
        <w:rPr>
          <w:rFonts w:ascii="Arial" w:hAnsi="Arial" w:cs="Arial"/>
        </w:rPr>
        <w:t>s</w:t>
      </w:r>
      <w:r>
        <w:rPr>
          <w:rFonts w:ascii="Arial" w:hAnsi="Arial" w:cs="Arial"/>
        </w:rPr>
        <w:t xml:space="preserve">, the threshold </w:t>
      </w:r>
      <w:r w:rsidR="007C02F1">
        <w:rPr>
          <w:rFonts w:ascii="Arial" w:hAnsi="Arial" w:cs="Arial"/>
        </w:rPr>
        <w:t xml:space="preserve">shall be as </w:t>
      </w:r>
      <w:r>
        <w:rPr>
          <w:rFonts w:ascii="Arial" w:hAnsi="Arial" w:cs="Arial"/>
        </w:rPr>
        <w:t>specified in schedule XII of Listing Regulations, which is given below: -</w:t>
      </w:r>
    </w:p>
    <w:p w14:paraId="3E14469C" w14:textId="77777777" w:rsidR="00430838" w:rsidRDefault="00430838" w:rsidP="00E83BB1">
      <w:pPr>
        <w:pStyle w:val="ListParagraph"/>
        <w:ind w:left="1170"/>
        <w:jc w:val="both"/>
        <w:rPr>
          <w:rFonts w:ascii="Arial" w:hAnsi="Arial" w:cs="Arial"/>
        </w:rPr>
      </w:pPr>
    </w:p>
    <w:p w14:paraId="2BF34448" w14:textId="77777777" w:rsidR="007C02F1" w:rsidRDefault="007C02F1" w:rsidP="00E83BB1">
      <w:pPr>
        <w:pStyle w:val="ListParagraph"/>
        <w:ind w:left="1170"/>
        <w:jc w:val="both"/>
        <w:rPr>
          <w:rFonts w:ascii="Arial" w:hAnsi="Arial" w:cs="Arial"/>
          <w:b/>
          <w:bCs/>
          <w:i/>
          <w:iCs/>
          <w:u w:val="single"/>
        </w:rPr>
      </w:pPr>
    </w:p>
    <w:p w14:paraId="47DCF519" w14:textId="77777777" w:rsidR="007C02F1" w:rsidRDefault="007C02F1" w:rsidP="00E83BB1">
      <w:pPr>
        <w:pStyle w:val="ListParagraph"/>
        <w:ind w:left="1170"/>
        <w:jc w:val="both"/>
        <w:rPr>
          <w:rFonts w:ascii="Arial" w:hAnsi="Arial" w:cs="Arial"/>
          <w:b/>
          <w:bCs/>
          <w:i/>
          <w:iCs/>
          <w:u w:val="single"/>
        </w:rPr>
      </w:pPr>
    </w:p>
    <w:p w14:paraId="41218D84" w14:textId="77777777" w:rsidR="007C02F1" w:rsidRDefault="007C02F1" w:rsidP="00E83BB1">
      <w:pPr>
        <w:pStyle w:val="ListParagraph"/>
        <w:ind w:left="1170"/>
        <w:jc w:val="both"/>
        <w:rPr>
          <w:rFonts w:ascii="Arial" w:hAnsi="Arial" w:cs="Arial"/>
          <w:b/>
          <w:bCs/>
          <w:i/>
          <w:iCs/>
          <w:u w:val="single"/>
        </w:rPr>
      </w:pPr>
    </w:p>
    <w:p w14:paraId="3DD5DC1F" w14:textId="67BF7AF3" w:rsidR="00E83BB1" w:rsidRDefault="00E83BB1" w:rsidP="00E83BB1">
      <w:pPr>
        <w:pStyle w:val="ListParagraph"/>
        <w:ind w:left="1170"/>
        <w:jc w:val="both"/>
        <w:rPr>
          <w:rFonts w:ascii="Arial" w:hAnsi="Arial" w:cs="Arial"/>
          <w:b/>
          <w:bCs/>
          <w:i/>
          <w:iCs/>
          <w:u w:val="single"/>
        </w:rPr>
      </w:pPr>
      <w:r w:rsidRPr="00E83BB1">
        <w:rPr>
          <w:rFonts w:ascii="Arial" w:hAnsi="Arial" w:cs="Arial"/>
          <w:b/>
          <w:bCs/>
          <w:i/>
          <w:iCs/>
          <w:u w:val="single"/>
        </w:rPr>
        <w:lastRenderedPageBreak/>
        <w:t>A transaction with a related party shall be considered material, if the transaction(s) to be entered into individually or taken together with previous transactions during a financial year exceeds the following</w:t>
      </w:r>
      <w:r w:rsidR="00190D2B">
        <w:rPr>
          <w:rFonts w:ascii="Arial" w:hAnsi="Arial" w:cs="Arial"/>
          <w:b/>
          <w:bCs/>
          <w:i/>
          <w:iCs/>
          <w:u w:val="single"/>
        </w:rPr>
        <w:t xml:space="preserve"> </w:t>
      </w:r>
    </w:p>
    <w:p w14:paraId="48F9F5A8" w14:textId="77777777" w:rsidR="00430838" w:rsidRDefault="00430838" w:rsidP="00E83BB1">
      <w:pPr>
        <w:pStyle w:val="ListParagraph"/>
        <w:ind w:left="1170"/>
        <w:jc w:val="both"/>
        <w:rPr>
          <w:rFonts w:ascii="Arial" w:hAnsi="Arial" w:cs="Arial"/>
          <w:b/>
          <w:bCs/>
          <w:i/>
          <w:iCs/>
          <w:u w:val="single"/>
        </w:rPr>
      </w:pPr>
    </w:p>
    <w:tbl>
      <w:tblPr>
        <w:tblStyle w:val="TableGrid"/>
        <w:tblW w:w="0" w:type="auto"/>
        <w:tblInd w:w="1170" w:type="dxa"/>
        <w:tblLook w:val="04A0" w:firstRow="1" w:lastRow="0" w:firstColumn="1" w:lastColumn="0" w:noHBand="0" w:noVBand="1"/>
      </w:tblPr>
      <w:tblGrid>
        <w:gridCol w:w="3928"/>
        <w:gridCol w:w="4252"/>
      </w:tblGrid>
      <w:tr w:rsidR="00E83BB1" w14:paraId="6041B1F0" w14:textId="77777777" w:rsidTr="00430838">
        <w:tc>
          <w:tcPr>
            <w:tcW w:w="3928" w:type="dxa"/>
          </w:tcPr>
          <w:p w14:paraId="0C8A6DBA" w14:textId="6F685FB8" w:rsidR="00E83BB1" w:rsidRPr="00430838" w:rsidRDefault="00E83BB1" w:rsidP="00735CE7">
            <w:pPr>
              <w:pStyle w:val="ListParagraph"/>
              <w:ind w:left="0"/>
              <w:jc w:val="center"/>
              <w:rPr>
                <w:rFonts w:ascii="Arial" w:hAnsi="Arial" w:cs="Arial"/>
                <w:b/>
                <w:bCs/>
              </w:rPr>
            </w:pPr>
            <w:r w:rsidRPr="00430838">
              <w:rPr>
                <w:rFonts w:ascii="Arial" w:hAnsi="Arial" w:cs="Arial"/>
                <w:b/>
                <w:bCs/>
              </w:rPr>
              <w:t>Consolidated Turnover of Listed Entity Threshold</w:t>
            </w:r>
          </w:p>
        </w:tc>
        <w:tc>
          <w:tcPr>
            <w:tcW w:w="4252" w:type="dxa"/>
          </w:tcPr>
          <w:p w14:paraId="35A04346" w14:textId="4F3D24DD" w:rsidR="00E83BB1" w:rsidRPr="00430838" w:rsidRDefault="00E83BB1" w:rsidP="00735CE7">
            <w:pPr>
              <w:pStyle w:val="ListParagraph"/>
              <w:ind w:left="0"/>
              <w:jc w:val="center"/>
              <w:rPr>
                <w:rFonts w:ascii="Arial" w:hAnsi="Arial" w:cs="Arial"/>
                <w:b/>
                <w:bCs/>
              </w:rPr>
            </w:pPr>
            <w:r w:rsidRPr="00430838">
              <w:rPr>
                <w:rFonts w:ascii="Arial" w:hAnsi="Arial" w:cs="Arial"/>
                <w:b/>
                <w:bCs/>
              </w:rPr>
              <w:t>Threshold</w:t>
            </w:r>
          </w:p>
        </w:tc>
      </w:tr>
      <w:tr w:rsidR="00E83BB1" w14:paraId="56129575" w14:textId="77777777" w:rsidTr="00430838">
        <w:tc>
          <w:tcPr>
            <w:tcW w:w="3928" w:type="dxa"/>
          </w:tcPr>
          <w:p w14:paraId="7B4FAE70" w14:textId="12572DA5" w:rsidR="00E83BB1" w:rsidRPr="00E83BB1" w:rsidRDefault="00E83BB1" w:rsidP="00E83BB1">
            <w:pPr>
              <w:pStyle w:val="ListParagraph"/>
              <w:ind w:left="0"/>
              <w:jc w:val="both"/>
              <w:rPr>
                <w:rFonts w:ascii="Arial" w:hAnsi="Arial" w:cs="Arial"/>
              </w:rPr>
            </w:pPr>
            <w:r w:rsidRPr="00E83BB1">
              <w:rPr>
                <w:rFonts w:ascii="Arial" w:hAnsi="Arial" w:cs="Arial"/>
              </w:rPr>
              <w:t>(I) Up to ₹20,000 Crore</w:t>
            </w:r>
          </w:p>
        </w:tc>
        <w:tc>
          <w:tcPr>
            <w:tcW w:w="4252" w:type="dxa"/>
          </w:tcPr>
          <w:p w14:paraId="538FF95B" w14:textId="2F28DD47" w:rsidR="00E83BB1" w:rsidRPr="00E83BB1" w:rsidRDefault="00E83BB1" w:rsidP="00E83BB1">
            <w:pPr>
              <w:jc w:val="both"/>
              <w:rPr>
                <w:rFonts w:ascii="Arial" w:hAnsi="Arial" w:cs="Arial"/>
                <w:lang w:val="en-IN"/>
              </w:rPr>
            </w:pPr>
            <w:r w:rsidRPr="00E83BB1">
              <w:rPr>
                <w:rFonts w:ascii="Arial" w:hAnsi="Arial" w:cs="Arial"/>
                <w:lang w:val="en-IN"/>
              </w:rPr>
              <w:t>10% of the annual consolidated turnover of the</w:t>
            </w:r>
            <w:r>
              <w:rPr>
                <w:rFonts w:ascii="Arial" w:hAnsi="Arial" w:cs="Arial"/>
                <w:lang w:val="en-IN"/>
              </w:rPr>
              <w:t xml:space="preserve"> </w:t>
            </w:r>
            <w:r w:rsidRPr="00E83BB1">
              <w:rPr>
                <w:rFonts w:ascii="Arial" w:hAnsi="Arial" w:cs="Arial"/>
                <w:lang w:val="en-IN"/>
              </w:rPr>
              <w:t>listed entity</w:t>
            </w:r>
          </w:p>
          <w:p w14:paraId="3AE3F3F3" w14:textId="77777777" w:rsidR="00E83BB1" w:rsidRPr="00E83BB1" w:rsidRDefault="00E83BB1" w:rsidP="00E83BB1">
            <w:pPr>
              <w:pStyle w:val="ListParagraph"/>
              <w:ind w:left="0"/>
              <w:jc w:val="both"/>
              <w:rPr>
                <w:rFonts w:ascii="Arial" w:hAnsi="Arial" w:cs="Arial"/>
              </w:rPr>
            </w:pPr>
          </w:p>
        </w:tc>
      </w:tr>
      <w:tr w:rsidR="00E83BB1" w14:paraId="5E3A989B" w14:textId="77777777" w:rsidTr="00430838">
        <w:tc>
          <w:tcPr>
            <w:tcW w:w="3928" w:type="dxa"/>
          </w:tcPr>
          <w:p w14:paraId="26086795" w14:textId="0EDA9329" w:rsidR="00E83BB1" w:rsidRPr="00E83BB1" w:rsidRDefault="00E83BB1" w:rsidP="00E83BB1">
            <w:pPr>
              <w:jc w:val="both"/>
              <w:rPr>
                <w:rFonts w:ascii="Arial" w:hAnsi="Arial" w:cs="Arial"/>
                <w:lang w:val="en-IN"/>
              </w:rPr>
            </w:pPr>
            <w:r w:rsidRPr="00E83BB1">
              <w:rPr>
                <w:rFonts w:ascii="Arial" w:hAnsi="Arial" w:cs="Arial"/>
                <w:lang w:val="en-IN"/>
              </w:rPr>
              <w:t xml:space="preserve">(II) More than ₹20,000 Crore to </w:t>
            </w:r>
            <w:proofErr w:type="spellStart"/>
            <w:r w:rsidRPr="00E83BB1">
              <w:rPr>
                <w:rFonts w:ascii="Arial" w:hAnsi="Arial" w:cs="Arial"/>
                <w:lang w:val="en-IN"/>
              </w:rPr>
              <w:t>upto</w:t>
            </w:r>
            <w:proofErr w:type="spellEnd"/>
            <w:r w:rsidRPr="00E83BB1">
              <w:rPr>
                <w:rFonts w:ascii="Arial" w:hAnsi="Arial" w:cs="Arial"/>
                <w:lang w:val="en-IN"/>
              </w:rPr>
              <w:t xml:space="preserve"> ₹40,000</w:t>
            </w:r>
            <w:r>
              <w:rPr>
                <w:rFonts w:ascii="Arial" w:hAnsi="Arial" w:cs="Arial"/>
                <w:lang w:val="en-IN"/>
              </w:rPr>
              <w:t xml:space="preserve"> </w:t>
            </w:r>
            <w:r w:rsidRPr="00E83BB1">
              <w:rPr>
                <w:rFonts w:ascii="Arial" w:hAnsi="Arial" w:cs="Arial"/>
                <w:lang w:val="en-IN"/>
              </w:rPr>
              <w:t>Crore</w:t>
            </w:r>
          </w:p>
          <w:p w14:paraId="5A169F2B" w14:textId="77777777" w:rsidR="00E83BB1" w:rsidRPr="00E83BB1" w:rsidRDefault="00E83BB1" w:rsidP="00E83BB1">
            <w:pPr>
              <w:pStyle w:val="ListParagraph"/>
              <w:ind w:left="0"/>
              <w:jc w:val="both"/>
              <w:rPr>
                <w:rFonts w:ascii="Arial" w:hAnsi="Arial" w:cs="Arial"/>
              </w:rPr>
            </w:pPr>
          </w:p>
        </w:tc>
        <w:tc>
          <w:tcPr>
            <w:tcW w:w="4252" w:type="dxa"/>
          </w:tcPr>
          <w:p w14:paraId="249BDD99" w14:textId="521E4986" w:rsidR="00430838" w:rsidRPr="00430838" w:rsidRDefault="00430838" w:rsidP="00430838">
            <w:pPr>
              <w:jc w:val="both"/>
              <w:rPr>
                <w:rFonts w:ascii="Arial" w:hAnsi="Arial" w:cs="Arial"/>
                <w:lang w:val="en-IN"/>
              </w:rPr>
            </w:pPr>
            <w:r w:rsidRPr="00430838">
              <w:rPr>
                <w:rFonts w:ascii="Arial" w:hAnsi="Arial" w:cs="Arial"/>
                <w:lang w:val="en-IN"/>
              </w:rPr>
              <w:t>₹2,000    Crore    +    5%    of    the    annual</w:t>
            </w:r>
            <w:r>
              <w:rPr>
                <w:rFonts w:ascii="Arial" w:hAnsi="Arial" w:cs="Arial"/>
                <w:lang w:val="en-IN"/>
              </w:rPr>
              <w:t xml:space="preserve"> </w:t>
            </w:r>
            <w:r w:rsidRPr="00430838">
              <w:rPr>
                <w:rFonts w:ascii="Arial" w:hAnsi="Arial" w:cs="Arial"/>
                <w:lang w:val="en-IN"/>
              </w:rPr>
              <w:t>consolidated</w:t>
            </w:r>
            <w:r>
              <w:rPr>
                <w:rFonts w:ascii="Arial" w:hAnsi="Arial" w:cs="Arial"/>
                <w:lang w:val="en-IN"/>
              </w:rPr>
              <w:t xml:space="preserve"> </w:t>
            </w:r>
            <w:r w:rsidRPr="00430838">
              <w:rPr>
                <w:rFonts w:ascii="Arial" w:hAnsi="Arial" w:cs="Arial"/>
                <w:lang w:val="en-IN"/>
              </w:rPr>
              <w:t>turnover of the listed entity above ₹20,000 Crore</w:t>
            </w:r>
          </w:p>
          <w:p w14:paraId="30E50D43" w14:textId="77777777" w:rsidR="00E83BB1" w:rsidRPr="00430838" w:rsidRDefault="00E83BB1" w:rsidP="00E83BB1">
            <w:pPr>
              <w:pStyle w:val="ListParagraph"/>
              <w:ind w:left="0"/>
              <w:jc w:val="both"/>
              <w:rPr>
                <w:rFonts w:ascii="Arial" w:hAnsi="Arial" w:cs="Arial"/>
                <w:lang w:val="en-IN"/>
              </w:rPr>
            </w:pPr>
          </w:p>
        </w:tc>
      </w:tr>
      <w:tr w:rsidR="00E83BB1" w14:paraId="67F62F2B" w14:textId="77777777" w:rsidTr="00430838">
        <w:tc>
          <w:tcPr>
            <w:tcW w:w="3928" w:type="dxa"/>
          </w:tcPr>
          <w:p w14:paraId="63D92121" w14:textId="24C3FD5A" w:rsidR="00E83BB1" w:rsidRPr="00E83BB1" w:rsidRDefault="00E83BB1" w:rsidP="00E83BB1">
            <w:pPr>
              <w:pStyle w:val="ListParagraph"/>
              <w:ind w:left="0"/>
              <w:jc w:val="both"/>
              <w:rPr>
                <w:rFonts w:ascii="Arial" w:hAnsi="Arial" w:cs="Arial"/>
              </w:rPr>
            </w:pPr>
            <w:r w:rsidRPr="00E83BB1">
              <w:rPr>
                <w:rFonts w:ascii="Arial" w:hAnsi="Arial" w:cs="Arial"/>
              </w:rPr>
              <w:t>(III) More than ₹40,000 Crore</w:t>
            </w:r>
          </w:p>
        </w:tc>
        <w:tc>
          <w:tcPr>
            <w:tcW w:w="4252" w:type="dxa"/>
          </w:tcPr>
          <w:p w14:paraId="5C48920D" w14:textId="1AE56FF4" w:rsidR="00430838" w:rsidRPr="00430838" w:rsidRDefault="00430838" w:rsidP="00430838">
            <w:pPr>
              <w:jc w:val="both"/>
              <w:rPr>
                <w:rFonts w:ascii="Arial" w:hAnsi="Arial" w:cs="Arial"/>
                <w:lang w:val="en-IN"/>
              </w:rPr>
            </w:pPr>
            <w:r w:rsidRPr="00430838">
              <w:rPr>
                <w:rFonts w:ascii="Arial" w:hAnsi="Arial" w:cs="Arial"/>
                <w:lang w:val="en-IN"/>
              </w:rPr>
              <w:t>₹</w:t>
            </w:r>
            <w:r>
              <w:rPr>
                <w:rFonts w:ascii="Arial" w:hAnsi="Arial" w:cs="Arial"/>
                <w:lang w:val="en-IN"/>
              </w:rPr>
              <w:t xml:space="preserve"> </w:t>
            </w:r>
            <w:r w:rsidRPr="00430838">
              <w:rPr>
                <w:rFonts w:ascii="Arial" w:hAnsi="Arial" w:cs="Arial"/>
                <w:lang w:val="en-IN"/>
              </w:rPr>
              <w:t>3,000    Crore    +    2.5%    of    the    annual consolidated</w:t>
            </w:r>
            <w:r>
              <w:rPr>
                <w:rFonts w:ascii="Arial" w:hAnsi="Arial" w:cs="Arial"/>
                <w:lang w:val="en-IN"/>
              </w:rPr>
              <w:t xml:space="preserve"> </w:t>
            </w:r>
            <w:r w:rsidRPr="00430838">
              <w:rPr>
                <w:rFonts w:ascii="Arial" w:hAnsi="Arial" w:cs="Arial"/>
                <w:lang w:val="en-IN"/>
              </w:rPr>
              <w:t>turnover of the listed entity above ₹40,000 Crore</w:t>
            </w:r>
            <w:r>
              <w:rPr>
                <w:rFonts w:ascii="Arial" w:hAnsi="Arial" w:cs="Arial"/>
                <w:lang w:val="en-IN"/>
              </w:rPr>
              <w:t xml:space="preserve"> </w:t>
            </w:r>
            <w:r w:rsidRPr="00430838">
              <w:rPr>
                <w:rFonts w:ascii="Arial" w:hAnsi="Arial" w:cs="Arial"/>
                <w:lang w:val="en-IN"/>
              </w:rPr>
              <w:t>or ₹5</w:t>
            </w:r>
            <w:r w:rsidR="00CB6E56">
              <w:rPr>
                <w:rFonts w:ascii="Arial" w:hAnsi="Arial" w:cs="Arial"/>
                <w:lang w:val="en-IN"/>
              </w:rPr>
              <w:t>,</w:t>
            </w:r>
            <w:r w:rsidRPr="00430838">
              <w:rPr>
                <w:rFonts w:ascii="Arial" w:hAnsi="Arial" w:cs="Arial"/>
                <w:lang w:val="en-IN"/>
              </w:rPr>
              <w:t>000 Crores, whichever is lower.</w:t>
            </w:r>
          </w:p>
          <w:p w14:paraId="1BD8D1D2" w14:textId="77777777" w:rsidR="00E83BB1" w:rsidRPr="00E83BB1" w:rsidRDefault="00E83BB1" w:rsidP="00E83BB1">
            <w:pPr>
              <w:pStyle w:val="ListParagraph"/>
              <w:ind w:left="0"/>
              <w:jc w:val="both"/>
              <w:rPr>
                <w:rFonts w:ascii="Arial" w:hAnsi="Arial" w:cs="Arial"/>
              </w:rPr>
            </w:pPr>
          </w:p>
        </w:tc>
      </w:tr>
    </w:tbl>
    <w:p w14:paraId="51E2206F" w14:textId="37DCB403" w:rsidR="00E83BB1" w:rsidRDefault="00233AAB" w:rsidP="00E83BB1">
      <w:pPr>
        <w:pStyle w:val="ListParagraph"/>
        <w:ind w:left="1170"/>
        <w:jc w:val="both"/>
        <w:rPr>
          <w:rFonts w:ascii="Arial" w:hAnsi="Arial" w:cs="Arial"/>
        </w:rPr>
      </w:pPr>
      <w:r>
        <w:rPr>
          <w:rFonts w:ascii="Arial" w:hAnsi="Arial" w:cs="Arial"/>
        </w:rPr>
        <w:t xml:space="preserve"> </w:t>
      </w:r>
    </w:p>
    <w:p w14:paraId="49CBEA50" w14:textId="77777777" w:rsidR="004E0796" w:rsidRDefault="004E0796" w:rsidP="004E0796">
      <w:pPr>
        <w:pStyle w:val="ListParagraph"/>
        <w:ind w:left="1170"/>
        <w:jc w:val="both"/>
        <w:rPr>
          <w:rFonts w:ascii="Arial" w:hAnsi="Arial" w:cs="Arial"/>
        </w:rPr>
      </w:pPr>
      <w:r>
        <w:rPr>
          <w:rFonts w:ascii="Arial" w:hAnsi="Arial" w:cs="Arial"/>
        </w:rPr>
        <w:tab/>
      </w:r>
    </w:p>
    <w:p w14:paraId="02FB9ACF" w14:textId="5A94CEBC" w:rsidR="00233AAB" w:rsidRPr="004E0796" w:rsidRDefault="00233AAB" w:rsidP="004E0796">
      <w:pPr>
        <w:pStyle w:val="ListParagraph"/>
        <w:numPr>
          <w:ilvl w:val="0"/>
          <w:numId w:val="15"/>
        </w:numPr>
        <w:jc w:val="both"/>
        <w:rPr>
          <w:rFonts w:ascii="Arial" w:hAnsi="Arial" w:cs="Arial"/>
        </w:rPr>
      </w:pPr>
      <w:r w:rsidRPr="004E0796">
        <w:rPr>
          <w:rFonts w:ascii="Arial" w:hAnsi="Arial" w:cs="Arial"/>
        </w:rPr>
        <w:t>Any such amount as may be revised threshold by the law from time to time.</w:t>
      </w:r>
    </w:p>
    <w:p w14:paraId="412B8DA5" w14:textId="096E9B18" w:rsidR="00233AAB" w:rsidRPr="00E83BB1" w:rsidRDefault="00233AAB" w:rsidP="00E83BB1">
      <w:pPr>
        <w:pStyle w:val="ListParagraph"/>
        <w:ind w:left="1170"/>
        <w:jc w:val="both"/>
        <w:rPr>
          <w:rFonts w:ascii="Arial" w:hAnsi="Arial" w:cs="Arial"/>
        </w:rPr>
      </w:pPr>
    </w:p>
    <w:p w14:paraId="7F6AB0FB" w14:textId="6DD8BA9F" w:rsidR="002D4BCA" w:rsidRPr="008C1D85" w:rsidRDefault="00BA1A62" w:rsidP="002D4BCA">
      <w:pPr>
        <w:pStyle w:val="ListParagraph"/>
        <w:numPr>
          <w:ilvl w:val="0"/>
          <w:numId w:val="1"/>
        </w:numPr>
        <w:ind w:left="450" w:hanging="450"/>
        <w:rPr>
          <w:rFonts w:ascii="Arial" w:hAnsi="Arial" w:cs="Arial"/>
          <w:b/>
          <w:bCs/>
          <w:u w:val="single"/>
        </w:rPr>
      </w:pPr>
      <w:r w:rsidRPr="002D4BCA">
        <w:rPr>
          <w:rFonts w:ascii="Arial" w:hAnsi="Arial" w:cs="Arial"/>
        </w:rPr>
        <w:tab/>
      </w:r>
      <w:hyperlink r:id="rId9" w:history="1">
        <w:r w:rsidR="002D4BCA" w:rsidRPr="008C1D85">
          <w:rPr>
            <w:rFonts w:ascii="Arial" w:hAnsi="Arial" w:cs="Arial"/>
            <w:b/>
            <w:bCs/>
            <w:u w:val="single"/>
          </w:rPr>
          <w:t>Material Modification</w:t>
        </w:r>
      </w:hyperlink>
    </w:p>
    <w:p w14:paraId="688760A6" w14:textId="754D2593" w:rsidR="002D4BCA" w:rsidRPr="002D4BCA" w:rsidRDefault="002D4BCA" w:rsidP="002D4BCA">
      <w:pPr>
        <w:ind w:left="720"/>
        <w:jc w:val="both"/>
        <w:rPr>
          <w:rFonts w:ascii="Arial" w:hAnsi="Arial" w:cs="Arial"/>
        </w:rPr>
      </w:pPr>
      <w:r w:rsidRPr="002D4BCA">
        <w:rPr>
          <w:rFonts w:ascii="Arial" w:hAnsi="Arial" w:cs="Arial"/>
        </w:rPr>
        <w:t>Regulation 23</w:t>
      </w:r>
      <w:r>
        <w:rPr>
          <w:rFonts w:ascii="Arial" w:hAnsi="Arial" w:cs="Arial"/>
        </w:rPr>
        <w:t xml:space="preserve">(2)(a) of the SEBI Listing Regulations, required Audit Committee of the Listed Entity to define Material Modifications, accordingly the Audit Committee </w:t>
      </w:r>
      <w:r w:rsidR="00786E37">
        <w:rPr>
          <w:rFonts w:ascii="Arial" w:hAnsi="Arial" w:cs="Arial"/>
        </w:rPr>
        <w:t>of the B</w:t>
      </w:r>
      <w:r>
        <w:rPr>
          <w:rFonts w:ascii="Arial" w:hAnsi="Arial" w:cs="Arial"/>
        </w:rPr>
        <w:t>oard of Directors of SMIL</w:t>
      </w:r>
      <w:r w:rsidR="00786E37">
        <w:rPr>
          <w:rFonts w:ascii="Arial" w:hAnsi="Arial" w:cs="Arial"/>
        </w:rPr>
        <w:t xml:space="preserve"> has set out</w:t>
      </w:r>
      <w:r>
        <w:rPr>
          <w:rFonts w:ascii="Arial" w:hAnsi="Arial" w:cs="Arial"/>
        </w:rPr>
        <w:t xml:space="preserve"> </w:t>
      </w:r>
      <w:r w:rsidRPr="002D4BCA">
        <w:rPr>
          <w:rFonts w:ascii="Arial" w:hAnsi="Arial" w:cs="Arial"/>
        </w:rPr>
        <w:t>Material modification of Related Party Transaction (“RPT”) in relation to the Company means any modification, either individually or taken together with any previous modifications, made in the nature, value / exposure, or other terms and conditions of any existing RPT having</w:t>
      </w:r>
      <w:r w:rsidR="00786E37">
        <w:rPr>
          <w:rFonts w:ascii="Arial" w:hAnsi="Arial" w:cs="Arial"/>
        </w:rPr>
        <w:t xml:space="preserve"> incremental </w:t>
      </w:r>
      <w:r w:rsidRPr="002D4BCA">
        <w:rPr>
          <w:rFonts w:ascii="Arial" w:hAnsi="Arial" w:cs="Arial"/>
        </w:rPr>
        <w:t>variance of 20% or more in value of the original transaction already approved by the Audit Committee or Board or Shareholders, as the case may be, or such modification</w:t>
      </w:r>
      <w:r w:rsidR="00786E37">
        <w:rPr>
          <w:rFonts w:ascii="Arial" w:hAnsi="Arial" w:cs="Arial"/>
        </w:rPr>
        <w:t>.</w:t>
      </w:r>
      <w:r w:rsidRPr="002D4BCA">
        <w:rPr>
          <w:rFonts w:ascii="Arial" w:hAnsi="Arial" w:cs="Arial"/>
        </w:rPr>
        <w:t xml:space="preserve"> </w:t>
      </w:r>
    </w:p>
    <w:p w14:paraId="01B82F68" w14:textId="77777777" w:rsidR="00BA1A62" w:rsidRPr="002D4BCA" w:rsidRDefault="00BA1A62" w:rsidP="00BA1A62">
      <w:pPr>
        <w:pStyle w:val="ListParagraph"/>
        <w:ind w:left="450"/>
        <w:rPr>
          <w:rFonts w:ascii="Arial" w:hAnsi="Arial" w:cs="Arial"/>
          <w:b/>
          <w:bCs/>
        </w:rPr>
      </w:pPr>
    </w:p>
    <w:p w14:paraId="4F86FC8F" w14:textId="7C58F24A" w:rsidR="000666F1" w:rsidRPr="002D4BCA" w:rsidRDefault="000666F1" w:rsidP="000666F1">
      <w:pPr>
        <w:pStyle w:val="ListParagraph"/>
        <w:numPr>
          <w:ilvl w:val="0"/>
          <w:numId w:val="1"/>
        </w:numPr>
        <w:ind w:left="450" w:hanging="450"/>
        <w:rPr>
          <w:rFonts w:ascii="Arial" w:hAnsi="Arial" w:cs="Arial"/>
          <w:b/>
          <w:bCs/>
        </w:rPr>
      </w:pPr>
      <w:r w:rsidRPr="002D4BCA">
        <w:rPr>
          <w:rFonts w:ascii="Arial" w:hAnsi="Arial" w:cs="Arial"/>
          <w:b/>
          <w:bCs/>
        </w:rPr>
        <w:t xml:space="preserve">Manner of dealing with Related Party Transactions </w:t>
      </w:r>
    </w:p>
    <w:p w14:paraId="650FA487" w14:textId="2427B985" w:rsidR="000666F1" w:rsidRPr="002D4BCA" w:rsidRDefault="000666F1" w:rsidP="000666F1">
      <w:pPr>
        <w:pStyle w:val="ListParagraph"/>
        <w:ind w:left="450"/>
        <w:rPr>
          <w:rFonts w:ascii="Arial" w:hAnsi="Arial" w:cs="Arial"/>
          <w:b/>
          <w:bCs/>
        </w:rPr>
      </w:pPr>
    </w:p>
    <w:p w14:paraId="50BC6B7F" w14:textId="4F1586DA" w:rsidR="00A47FC9" w:rsidRPr="006159D9" w:rsidRDefault="00A47FC9" w:rsidP="00BA1A62">
      <w:pPr>
        <w:pStyle w:val="ListParagraph"/>
        <w:numPr>
          <w:ilvl w:val="0"/>
          <w:numId w:val="4"/>
        </w:numPr>
        <w:jc w:val="both"/>
        <w:rPr>
          <w:rFonts w:ascii="Arial" w:hAnsi="Arial" w:cs="Arial"/>
          <w:b/>
          <w:bCs/>
        </w:rPr>
      </w:pPr>
      <w:r w:rsidRPr="006159D9">
        <w:rPr>
          <w:rFonts w:ascii="Arial" w:hAnsi="Arial" w:cs="Arial"/>
        </w:rPr>
        <w:t>Identification of Related Parties</w:t>
      </w:r>
      <w:r w:rsidR="00BA1A62" w:rsidRPr="006159D9">
        <w:rPr>
          <w:rFonts w:ascii="Arial" w:hAnsi="Arial" w:cs="Arial"/>
        </w:rPr>
        <w:t xml:space="preserve">: list of related parties </w:t>
      </w:r>
      <w:r w:rsidR="00737E19">
        <w:rPr>
          <w:rFonts w:ascii="Arial" w:hAnsi="Arial" w:cs="Arial"/>
        </w:rPr>
        <w:t xml:space="preserve">shall be identified from time to time </w:t>
      </w:r>
      <w:r w:rsidR="00BA1A62" w:rsidRPr="006159D9">
        <w:rPr>
          <w:rFonts w:ascii="Arial" w:hAnsi="Arial" w:cs="Arial"/>
        </w:rPr>
        <w:t>as prescribed under Section 2(76) of the Act read with the Rules framed there under, Regulation 2(</w:t>
      </w:r>
      <w:proofErr w:type="gramStart"/>
      <w:r w:rsidR="00BA1A62" w:rsidRPr="006159D9">
        <w:rPr>
          <w:rFonts w:ascii="Arial" w:hAnsi="Arial" w:cs="Arial"/>
        </w:rPr>
        <w:t>1)(</w:t>
      </w:r>
      <w:proofErr w:type="spellStart"/>
      <w:proofErr w:type="gramEnd"/>
      <w:r w:rsidR="00BA1A62" w:rsidRPr="006159D9">
        <w:rPr>
          <w:rFonts w:ascii="Arial" w:hAnsi="Arial" w:cs="Arial"/>
        </w:rPr>
        <w:t>zb</w:t>
      </w:r>
      <w:proofErr w:type="spellEnd"/>
      <w:r w:rsidR="00BA1A62" w:rsidRPr="006159D9">
        <w:rPr>
          <w:rFonts w:ascii="Arial" w:hAnsi="Arial" w:cs="Arial"/>
        </w:rPr>
        <w:t>) of the SEBI Listing Regulations and applicable Accounting Standards, as amended from time to time.</w:t>
      </w:r>
    </w:p>
    <w:p w14:paraId="529A1697" w14:textId="77777777" w:rsidR="006159D9" w:rsidRPr="006159D9" w:rsidRDefault="006159D9" w:rsidP="006159D9">
      <w:pPr>
        <w:pStyle w:val="ListParagraph"/>
        <w:ind w:left="1170"/>
        <w:jc w:val="both"/>
        <w:rPr>
          <w:rFonts w:ascii="Arial" w:hAnsi="Arial" w:cs="Arial"/>
          <w:b/>
          <w:bCs/>
        </w:rPr>
      </w:pPr>
    </w:p>
    <w:p w14:paraId="53B2CC74" w14:textId="389E8104" w:rsidR="00D3689F" w:rsidRPr="006159D9" w:rsidRDefault="00D3689F" w:rsidP="00BA1A62">
      <w:pPr>
        <w:pStyle w:val="ListParagraph"/>
        <w:numPr>
          <w:ilvl w:val="0"/>
          <w:numId w:val="4"/>
        </w:numPr>
        <w:jc w:val="both"/>
        <w:rPr>
          <w:rFonts w:ascii="Arial" w:hAnsi="Arial" w:cs="Arial"/>
          <w:b/>
          <w:bCs/>
        </w:rPr>
      </w:pPr>
      <w:r w:rsidRPr="006159D9">
        <w:rPr>
          <w:rFonts w:ascii="Arial" w:hAnsi="Arial" w:cs="Arial"/>
        </w:rPr>
        <w:t>Identification of related party transactions</w:t>
      </w:r>
      <w:r w:rsidR="00BA1A62" w:rsidRPr="006159D9">
        <w:rPr>
          <w:rFonts w:ascii="Arial" w:hAnsi="Arial" w:cs="Arial"/>
        </w:rPr>
        <w:t xml:space="preserve">: related party transactions </w:t>
      </w:r>
      <w:r w:rsidR="00737E19">
        <w:rPr>
          <w:rFonts w:ascii="Arial" w:hAnsi="Arial" w:cs="Arial"/>
        </w:rPr>
        <w:t xml:space="preserve">shall be identified from time to time </w:t>
      </w:r>
      <w:r w:rsidR="00BA1A62" w:rsidRPr="006159D9">
        <w:rPr>
          <w:rFonts w:ascii="Arial" w:hAnsi="Arial" w:cs="Arial"/>
        </w:rPr>
        <w:t>in accordance with Section 188 of the Act and Rules framed thereunder, and Regulation 2(</w:t>
      </w:r>
      <w:proofErr w:type="gramStart"/>
      <w:r w:rsidR="00BA1A62" w:rsidRPr="006159D9">
        <w:rPr>
          <w:rFonts w:ascii="Arial" w:hAnsi="Arial" w:cs="Arial"/>
        </w:rPr>
        <w:t>1)(</w:t>
      </w:r>
      <w:proofErr w:type="spellStart"/>
      <w:proofErr w:type="gramEnd"/>
      <w:r w:rsidR="00BA1A62" w:rsidRPr="006159D9">
        <w:rPr>
          <w:rFonts w:ascii="Arial" w:hAnsi="Arial" w:cs="Arial"/>
        </w:rPr>
        <w:t>zc</w:t>
      </w:r>
      <w:proofErr w:type="spellEnd"/>
      <w:r w:rsidR="00BA1A62" w:rsidRPr="006159D9">
        <w:rPr>
          <w:rFonts w:ascii="Arial" w:hAnsi="Arial" w:cs="Arial"/>
        </w:rPr>
        <w:t>)</w:t>
      </w:r>
      <w:r w:rsidR="001C462D">
        <w:rPr>
          <w:rFonts w:ascii="Arial" w:hAnsi="Arial" w:cs="Arial"/>
        </w:rPr>
        <w:t xml:space="preserve"> and 23</w:t>
      </w:r>
      <w:r w:rsidR="00BA1A62" w:rsidRPr="006159D9">
        <w:rPr>
          <w:rFonts w:ascii="Arial" w:hAnsi="Arial" w:cs="Arial"/>
        </w:rPr>
        <w:t xml:space="preserve"> of the SEBI Listing Regulations</w:t>
      </w:r>
      <w:r w:rsidR="00737E19">
        <w:rPr>
          <w:rFonts w:ascii="Arial" w:hAnsi="Arial" w:cs="Arial"/>
        </w:rPr>
        <w:t xml:space="preserve"> and accordingly shall determine </w:t>
      </w:r>
      <w:r w:rsidR="00BA1A62" w:rsidRPr="006159D9">
        <w:rPr>
          <w:rFonts w:ascii="Arial" w:hAnsi="Arial" w:cs="Arial"/>
        </w:rPr>
        <w:t>whether the transaction is in the ordinary course of business and at arm’s length basis and for this purpose, the Company may seek external professional opinion, if necessary.</w:t>
      </w:r>
    </w:p>
    <w:p w14:paraId="341F55EF" w14:textId="77777777" w:rsidR="00BA1A62" w:rsidRDefault="00BA1A62" w:rsidP="00BA1A62">
      <w:pPr>
        <w:pStyle w:val="ListParagraph"/>
        <w:ind w:left="1170"/>
        <w:jc w:val="both"/>
        <w:rPr>
          <w:rFonts w:ascii="Arial" w:hAnsi="Arial" w:cs="Arial"/>
          <w:b/>
          <w:bCs/>
        </w:rPr>
      </w:pPr>
    </w:p>
    <w:p w14:paraId="1968EEF0" w14:textId="77777777" w:rsidR="008C1D85" w:rsidRDefault="008C1D85" w:rsidP="00BA1A62">
      <w:pPr>
        <w:pStyle w:val="ListParagraph"/>
        <w:ind w:left="1170"/>
        <w:jc w:val="both"/>
        <w:rPr>
          <w:rFonts w:ascii="Arial" w:hAnsi="Arial" w:cs="Arial"/>
          <w:b/>
          <w:bCs/>
        </w:rPr>
      </w:pPr>
    </w:p>
    <w:p w14:paraId="36C65647" w14:textId="77777777" w:rsidR="008C1D85" w:rsidRDefault="008C1D85" w:rsidP="00BA1A62">
      <w:pPr>
        <w:pStyle w:val="ListParagraph"/>
        <w:ind w:left="1170"/>
        <w:jc w:val="both"/>
        <w:rPr>
          <w:rFonts w:ascii="Arial" w:hAnsi="Arial" w:cs="Arial"/>
          <w:b/>
          <w:bCs/>
        </w:rPr>
      </w:pPr>
    </w:p>
    <w:p w14:paraId="07847243" w14:textId="77777777" w:rsidR="008C1D85" w:rsidRPr="006159D9" w:rsidRDefault="008C1D85" w:rsidP="00BA1A62">
      <w:pPr>
        <w:pStyle w:val="ListParagraph"/>
        <w:ind w:left="1170"/>
        <w:jc w:val="both"/>
        <w:rPr>
          <w:rFonts w:ascii="Arial" w:hAnsi="Arial" w:cs="Arial"/>
          <w:b/>
          <w:bCs/>
        </w:rPr>
      </w:pPr>
    </w:p>
    <w:p w14:paraId="763DBA36" w14:textId="5119B9E7" w:rsidR="00BA1A62" w:rsidRPr="006159D9" w:rsidRDefault="00BA1A62" w:rsidP="00BA1A62">
      <w:pPr>
        <w:pStyle w:val="ListParagraph"/>
        <w:numPr>
          <w:ilvl w:val="0"/>
          <w:numId w:val="4"/>
        </w:numPr>
        <w:rPr>
          <w:rFonts w:ascii="Arial" w:hAnsi="Arial" w:cs="Arial"/>
          <w:b/>
          <w:bCs/>
        </w:rPr>
      </w:pPr>
      <w:r w:rsidRPr="006159D9">
        <w:rPr>
          <w:rFonts w:ascii="Arial" w:hAnsi="Arial" w:cs="Arial"/>
        </w:rPr>
        <w:t xml:space="preserve">Review and approval of Related Party Transactions </w:t>
      </w:r>
      <w:r w:rsidR="00786E37">
        <w:rPr>
          <w:rFonts w:ascii="Arial" w:hAnsi="Arial" w:cs="Arial"/>
        </w:rPr>
        <w:t>by listed entity</w:t>
      </w:r>
    </w:p>
    <w:tbl>
      <w:tblPr>
        <w:tblStyle w:val="TableGrid"/>
        <w:tblW w:w="10800" w:type="dxa"/>
        <w:tblInd w:w="-545" w:type="dxa"/>
        <w:tblLook w:val="04A0" w:firstRow="1" w:lastRow="0" w:firstColumn="1" w:lastColumn="0" w:noHBand="0" w:noVBand="1"/>
      </w:tblPr>
      <w:tblGrid>
        <w:gridCol w:w="3960"/>
        <w:gridCol w:w="3600"/>
        <w:gridCol w:w="3240"/>
      </w:tblGrid>
      <w:tr w:rsidR="00BA1A62" w:rsidRPr="002D4BCA" w14:paraId="361CA24A" w14:textId="77777777" w:rsidTr="00D77D57">
        <w:tc>
          <w:tcPr>
            <w:tcW w:w="3960" w:type="dxa"/>
          </w:tcPr>
          <w:p w14:paraId="391D8E52" w14:textId="77777777" w:rsidR="00BA1A62" w:rsidRPr="002D4BCA" w:rsidRDefault="00BA1A62" w:rsidP="003C24CB">
            <w:pPr>
              <w:jc w:val="center"/>
              <w:rPr>
                <w:rFonts w:ascii="Arial" w:hAnsi="Arial" w:cs="Arial"/>
                <w:b/>
                <w:bCs/>
                <w:sz w:val="20"/>
                <w:szCs w:val="20"/>
              </w:rPr>
            </w:pPr>
            <w:r w:rsidRPr="002D4BCA">
              <w:rPr>
                <w:rFonts w:ascii="Arial" w:hAnsi="Arial" w:cs="Arial"/>
                <w:b/>
                <w:bCs/>
                <w:sz w:val="20"/>
                <w:szCs w:val="20"/>
              </w:rPr>
              <w:t>Audit Committee Approval</w:t>
            </w:r>
          </w:p>
        </w:tc>
        <w:tc>
          <w:tcPr>
            <w:tcW w:w="3600" w:type="dxa"/>
          </w:tcPr>
          <w:p w14:paraId="3DE9BE6D" w14:textId="77777777" w:rsidR="00BA1A62" w:rsidRPr="002D4BCA" w:rsidRDefault="00BA1A62" w:rsidP="003C24CB">
            <w:pPr>
              <w:jc w:val="center"/>
              <w:rPr>
                <w:rFonts w:ascii="Arial" w:hAnsi="Arial" w:cs="Arial"/>
                <w:b/>
                <w:bCs/>
                <w:sz w:val="20"/>
                <w:szCs w:val="20"/>
              </w:rPr>
            </w:pPr>
            <w:r w:rsidRPr="002D4BCA">
              <w:rPr>
                <w:rFonts w:ascii="Arial" w:hAnsi="Arial" w:cs="Arial"/>
                <w:b/>
                <w:bCs/>
                <w:sz w:val="20"/>
                <w:szCs w:val="20"/>
              </w:rPr>
              <w:t>Board Approval</w:t>
            </w:r>
          </w:p>
        </w:tc>
        <w:tc>
          <w:tcPr>
            <w:tcW w:w="3240" w:type="dxa"/>
          </w:tcPr>
          <w:p w14:paraId="4B3B1EE2" w14:textId="77777777" w:rsidR="00BA1A62" w:rsidRPr="002D4BCA" w:rsidRDefault="00BA1A62" w:rsidP="003C24CB">
            <w:pPr>
              <w:jc w:val="center"/>
              <w:rPr>
                <w:rFonts w:ascii="Arial" w:hAnsi="Arial" w:cs="Arial"/>
                <w:b/>
                <w:bCs/>
                <w:sz w:val="20"/>
                <w:szCs w:val="20"/>
              </w:rPr>
            </w:pPr>
            <w:r w:rsidRPr="002D4BCA">
              <w:rPr>
                <w:rFonts w:ascii="Arial" w:hAnsi="Arial" w:cs="Arial"/>
                <w:b/>
                <w:bCs/>
                <w:sz w:val="20"/>
                <w:szCs w:val="20"/>
              </w:rPr>
              <w:t>Members Approval</w:t>
            </w:r>
          </w:p>
        </w:tc>
      </w:tr>
      <w:tr w:rsidR="00BA1A62" w:rsidRPr="002D4BCA" w14:paraId="6A6C3380" w14:textId="77777777" w:rsidTr="00D77D57">
        <w:tc>
          <w:tcPr>
            <w:tcW w:w="3960" w:type="dxa"/>
          </w:tcPr>
          <w:p w14:paraId="038AB0BA" w14:textId="77777777" w:rsidR="00BA1A62" w:rsidRPr="002D4BCA" w:rsidRDefault="00BA1A62" w:rsidP="001E2557">
            <w:pPr>
              <w:pStyle w:val="Default"/>
              <w:rPr>
                <w:color w:val="auto"/>
                <w:sz w:val="20"/>
                <w:szCs w:val="20"/>
              </w:rPr>
            </w:pPr>
          </w:p>
          <w:p w14:paraId="7AAA79C0" w14:textId="5923BABA" w:rsidR="00BA1A62" w:rsidRDefault="00BA1A62" w:rsidP="00BA1A62">
            <w:pPr>
              <w:pStyle w:val="Default"/>
              <w:numPr>
                <w:ilvl w:val="0"/>
                <w:numId w:val="14"/>
              </w:numPr>
              <w:ind w:left="330"/>
              <w:jc w:val="both"/>
              <w:rPr>
                <w:sz w:val="20"/>
                <w:szCs w:val="20"/>
              </w:rPr>
            </w:pPr>
            <w:r w:rsidRPr="002D4BCA">
              <w:rPr>
                <w:sz w:val="20"/>
                <w:szCs w:val="20"/>
              </w:rPr>
              <w:t>All Related Party Transactions including Material Modifications thereto.</w:t>
            </w:r>
          </w:p>
          <w:p w14:paraId="4ABF51A1" w14:textId="77777777" w:rsidR="00250F38" w:rsidRDefault="00250F38" w:rsidP="00250F38">
            <w:pPr>
              <w:pStyle w:val="Default"/>
              <w:ind w:left="330"/>
              <w:jc w:val="both"/>
              <w:rPr>
                <w:sz w:val="20"/>
                <w:szCs w:val="20"/>
              </w:rPr>
            </w:pPr>
          </w:p>
          <w:p w14:paraId="51DE9C3D" w14:textId="733344D4" w:rsidR="00250F38" w:rsidRDefault="00250F38" w:rsidP="00250F38">
            <w:pPr>
              <w:pStyle w:val="ListParagraph"/>
              <w:numPr>
                <w:ilvl w:val="0"/>
                <w:numId w:val="14"/>
              </w:numPr>
              <w:spacing w:after="160" w:line="259" w:lineRule="auto"/>
              <w:ind w:left="330"/>
              <w:jc w:val="both"/>
              <w:rPr>
                <w:rFonts w:ascii="Arial" w:hAnsi="Arial" w:cs="Arial"/>
                <w:sz w:val="20"/>
                <w:szCs w:val="20"/>
              </w:rPr>
            </w:pPr>
            <w:r>
              <w:rPr>
                <w:rFonts w:ascii="Arial" w:hAnsi="Arial" w:cs="Arial"/>
                <w:sz w:val="20"/>
                <w:szCs w:val="20"/>
              </w:rPr>
              <w:t>The Company or any of its subsidiaries on one hand and a related party of the Company or any of its subsidiary on the other hand.</w:t>
            </w:r>
          </w:p>
          <w:p w14:paraId="641CBD7B" w14:textId="77777777" w:rsidR="00250F38" w:rsidRPr="00250F38" w:rsidRDefault="00250F38" w:rsidP="00250F38">
            <w:pPr>
              <w:pStyle w:val="ListParagraph"/>
              <w:rPr>
                <w:rFonts w:ascii="Arial" w:hAnsi="Arial" w:cs="Arial"/>
                <w:sz w:val="20"/>
                <w:szCs w:val="20"/>
              </w:rPr>
            </w:pPr>
          </w:p>
          <w:p w14:paraId="16D7A1B3" w14:textId="37B70D36" w:rsidR="00250F38" w:rsidRPr="002D4BCA" w:rsidRDefault="00786E37" w:rsidP="00250F38">
            <w:pPr>
              <w:pStyle w:val="ListParagraph"/>
              <w:numPr>
                <w:ilvl w:val="0"/>
                <w:numId w:val="14"/>
              </w:numPr>
              <w:spacing w:after="160" w:line="259" w:lineRule="auto"/>
              <w:ind w:left="330"/>
              <w:jc w:val="both"/>
              <w:rPr>
                <w:rFonts w:ascii="Arial" w:hAnsi="Arial" w:cs="Arial"/>
                <w:sz w:val="20"/>
                <w:szCs w:val="20"/>
              </w:rPr>
            </w:pPr>
            <w:r>
              <w:rPr>
                <w:rFonts w:ascii="Arial" w:hAnsi="Arial" w:cs="Arial"/>
                <w:sz w:val="20"/>
                <w:szCs w:val="20"/>
              </w:rPr>
              <w:t>T</w:t>
            </w:r>
            <w:r w:rsidR="00250F38" w:rsidRPr="002D4BCA">
              <w:rPr>
                <w:rFonts w:ascii="Arial" w:hAnsi="Arial" w:cs="Arial"/>
                <w:sz w:val="20"/>
                <w:szCs w:val="20"/>
              </w:rPr>
              <w:t>he Company or any of its subsidiaries on one hand, and any other person or entity on the other hand, the purpose and effect of which is to benefit a related party of the Company or any of its subsidiaries.</w:t>
            </w:r>
          </w:p>
          <w:p w14:paraId="046AF8CE" w14:textId="77777777" w:rsidR="00250F38" w:rsidRPr="002D4BCA" w:rsidRDefault="00250F38" w:rsidP="00250F38">
            <w:pPr>
              <w:pStyle w:val="Default"/>
              <w:ind w:left="330"/>
              <w:jc w:val="both"/>
              <w:rPr>
                <w:sz w:val="20"/>
                <w:szCs w:val="20"/>
              </w:rPr>
            </w:pPr>
          </w:p>
          <w:p w14:paraId="0E6A8165" w14:textId="0A7C571F" w:rsidR="00BA1A62" w:rsidRPr="007B7C9D" w:rsidRDefault="00BA1A62" w:rsidP="00F70E41">
            <w:pPr>
              <w:pStyle w:val="ListParagraph"/>
              <w:numPr>
                <w:ilvl w:val="0"/>
                <w:numId w:val="14"/>
              </w:numPr>
              <w:ind w:left="430"/>
              <w:jc w:val="both"/>
              <w:rPr>
                <w:rFonts w:ascii="Arial" w:hAnsi="Arial" w:cs="Arial"/>
                <w:sz w:val="20"/>
                <w:szCs w:val="20"/>
              </w:rPr>
            </w:pPr>
            <w:r w:rsidRPr="007B7C9D">
              <w:rPr>
                <w:rFonts w:ascii="Arial" w:hAnsi="Arial" w:cs="Arial"/>
                <w:sz w:val="20"/>
                <w:szCs w:val="20"/>
              </w:rPr>
              <w:t>an RPT</w:t>
            </w:r>
            <w:r w:rsidR="00F70E41" w:rsidRPr="007B7C9D">
              <w:rPr>
                <w:rFonts w:ascii="Arial" w:hAnsi="Arial" w:cs="Arial"/>
                <w:sz w:val="20"/>
                <w:szCs w:val="20"/>
              </w:rPr>
              <w:t xml:space="preserve"> above rupees one crore</w:t>
            </w:r>
            <w:r w:rsidRPr="007B7C9D">
              <w:rPr>
                <w:rFonts w:ascii="Arial" w:hAnsi="Arial" w:cs="Arial"/>
                <w:sz w:val="20"/>
                <w:szCs w:val="20"/>
              </w:rPr>
              <w:t xml:space="preserve"> to which the subsidiary of a Company is a party but the Company is not a party, if the value of such transaction whether entered into individually</w:t>
            </w:r>
            <w:r w:rsidR="00250F38" w:rsidRPr="007B7C9D">
              <w:rPr>
                <w:rFonts w:ascii="Arial" w:hAnsi="Arial" w:cs="Arial"/>
                <w:sz w:val="20"/>
                <w:szCs w:val="20"/>
              </w:rPr>
              <w:t xml:space="preserve"> </w:t>
            </w:r>
            <w:r w:rsidRPr="007B7C9D">
              <w:rPr>
                <w:rFonts w:ascii="Arial" w:hAnsi="Arial" w:cs="Arial"/>
                <w:sz w:val="20"/>
                <w:szCs w:val="20"/>
              </w:rPr>
              <w:t xml:space="preserve">or taken together with previous transactions during a financial year </w:t>
            </w:r>
            <w:r w:rsidR="00F70E41" w:rsidRPr="007B7C9D">
              <w:rPr>
                <w:rFonts w:ascii="Arial" w:hAnsi="Arial" w:cs="Arial"/>
                <w:sz w:val="20"/>
                <w:szCs w:val="20"/>
              </w:rPr>
              <w:t>exceeds the lower of the following</w:t>
            </w:r>
          </w:p>
          <w:p w14:paraId="5258790A" w14:textId="77777777" w:rsidR="00F70E41" w:rsidRPr="007B7C9D" w:rsidRDefault="00F70E41" w:rsidP="00F70E41">
            <w:pPr>
              <w:pStyle w:val="ListParagraph"/>
              <w:rPr>
                <w:rFonts w:ascii="Arial" w:hAnsi="Arial" w:cs="Arial"/>
                <w:sz w:val="20"/>
                <w:szCs w:val="20"/>
              </w:rPr>
            </w:pPr>
          </w:p>
          <w:p w14:paraId="6158DBF0" w14:textId="6D3580AD" w:rsidR="00F70E41" w:rsidRPr="007B7C9D" w:rsidRDefault="00F70E41" w:rsidP="00F70E41">
            <w:pPr>
              <w:pStyle w:val="ListParagraph"/>
              <w:ind w:left="430"/>
              <w:jc w:val="both"/>
              <w:rPr>
                <w:rFonts w:ascii="Arial" w:hAnsi="Arial" w:cs="Arial"/>
                <w:sz w:val="20"/>
                <w:szCs w:val="20"/>
                <w:lang w:val="en-IN"/>
              </w:rPr>
            </w:pPr>
            <w:r w:rsidRPr="007B7C9D">
              <w:rPr>
                <w:rFonts w:ascii="Arial" w:hAnsi="Arial" w:cs="Arial"/>
                <w:sz w:val="20"/>
                <w:szCs w:val="20"/>
                <w:lang w:val="en-IN"/>
              </w:rPr>
              <w:t>(</w:t>
            </w:r>
            <w:proofErr w:type="spellStart"/>
            <w:r w:rsidRPr="007B7C9D">
              <w:rPr>
                <w:rFonts w:ascii="Arial" w:hAnsi="Arial" w:cs="Arial"/>
                <w:sz w:val="20"/>
                <w:szCs w:val="20"/>
                <w:lang w:val="en-IN"/>
              </w:rPr>
              <w:t>i</w:t>
            </w:r>
            <w:proofErr w:type="spellEnd"/>
            <w:r w:rsidRPr="007B7C9D">
              <w:rPr>
                <w:rFonts w:ascii="Arial" w:hAnsi="Arial" w:cs="Arial"/>
                <w:sz w:val="20"/>
                <w:szCs w:val="20"/>
                <w:lang w:val="en-IN"/>
              </w:rPr>
              <w:t>) ten percent of the annual standalone turnover of the subsidiary as per the last audited financial statements of the subsidiary; or</w:t>
            </w:r>
          </w:p>
          <w:p w14:paraId="78A79EF8" w14:textId="77777777" w:rsidR="00D33E7B" w:rsidRPr="007B7C9D" w:rsidRDefault="00D33E7B" w:rsidP="00F70E41">
            <w:pPr>
              <w:pStyle w:val="ListParagraph"/>
              <w:ind w:left="430"/>
              <w:jc w:val="both"/>
              <w:rPr>
                <w:rFonts w:ascii="Arial" w:hAnsi="Arial" w:cs="Arial"/>
                <w:sz w:val="20"/>
                <w:szCs w:val="20"/>
                <w:lang w:val="en-IN"/>
              </w:rPr>
            </w:pPr>
          </w:p>
          <w:p w14:paraId="5D51BDE4" w14:textId="455604EA" w:rsidR="00F70E41" w:rsidRPr="00F70E41" w:rsidRDefault="00F70E41" w:rsidP="00F70E41">
            <w:pPr>
              <w:pStyle w:val="ListParagraph"/>
              <w:ind w:left="430"/>
              <w:jc w:val="both"/>
              <w:rPr>
                <w:rFonts w:ascii="Arial" w:hAnsi="Arial" w:cs="Arial"/>
                <w:sz w:val="20"/>
                <w:szCs w:val="20"/>
                <w:lang w:val="en-IN"/>
              </w:rPr>
            </w:pPr>
            <w:r w:rsidRPr="007B7C9D">
              <w:rPr>
                <w:rFonts w:ascii="Arial" w:hAnsi="Arial" w:cs="Arial"/>
                <w:sz w:val="20"/>
                <w:szCs w:val="20"/>
                <w:lang w:val="en-IN"/>
              </w:rPr>
              <w:t>(ii) the threshold for material related party transactions of listed entity as specified in Schedule XII of these regulations</w:t>
            </w:r>
          </w:p>
          <w:p w14:paraId="23EEC520" w14:textId="1F6E397D" w:rsidR="00F70E41" w:rsidRDefault="00F70E41" w:rsidP="00F70E41">
            <w:pPr>
              <w:pStyle w:val="ListParagraph"/>
              <w:ind w:left="430"/>
              <w:jc w:val="both"/>
              <w:rPr>
                <w:rFonts w:ascii="Arial" w:hAnsi="Arial" w:cs="Arial"/>
                <w:sz w:val="20"/>
                <w:szCs w:val="20"/>
                <w:lang w:val="en-IN"/>
              </w:rPr>
            </w:pPr>
          </w:p>
          <w:p w14:paraId="392DD7DB" w14:textId="0AADC4F6" w:rsidR="00186021" w:rsidRDefault="00186021" w:rsidP="00F70E41">
            <w:pPr>
              <w:pStyle w:val="ListParagraph"/>
              <w:ind w:left="430"/>
              <w:jc w:val="both"/>
              <w:rPr>
                <w:rFonts w:ascii="Arial" w:hAnsi="Arial" w:cs="Arial"/>
                <w:sz w:val="20"/>
                <w:szCs w:val="20"/>
              </w:rPr>
            </w:pPr>
            <w:r>
              <w:rPr>
                <w:rFonts w:ascii="Arial" w:hAnsi="Arial" w:cs="Arial"/>
                <w:sz w:val="20"/>
                <w:szCs w:val="20"/>
                <w:lang w:val="en-IN"/>
              </w:rPr>
              <w:t xml:space="preserve">Or if the audited financials of subsidiary are not available for at </w:t>
            </w:r>
            <w:r w:rsidRPr="00186021">
              <w:rPr>
                <w:rFonts w:ascii="Arial" w:hAnsi="Arial" w:cs="Arial"/>
                <w:sz w:val="20"/>
                <w:szCs w:val="20"/>
              </w:rPr>
              <w:t>least one yea</w:t>
            </w:r>
            <w:r>
              <w:rPr>
                <w:rFonts w:ascii="Arial" w:hAnsi="Arial" w:cs="Arial"/>
                <w:sz w:val="20"/>
                <w:szCs w:val="20"/>
              </w:rPr>
              <w:t>r</w:t>
            </w:r>
          </w:p>
          <w:p w14:paraId="3D755DE0" w14:textId="77777777" w:rsidR="00186021" w:rsidRDefault="00186021" w:rsidP="00F70E41">
            <w:pPr>
              <w:pStyle w:val="ListParagraph"/>
              <w:ind w:left="430"/>
              <w:jc w:val="both"/>
              <w:rPr>
                <w:rFonts w:ascii="Arial" w:hAnsi="Arial" w:cs="Arial"/>
                <w:sz w:val="20"/>
                <w:szCs w:val="20"/>
              </w:rPr>
            </w:pPr>
          </w:p>
          <w:p w14:paraId="3A68ABB2" w14:textId="79569FF2" w:rsidR="00186021" w:rsidRPr="00186021" w:rsidRDefault="00186021" w:rsidP="00186021">
            <w:pPr>
              <w:pStyle w:val="ListParagraph"/>
              <w:ind w:left="430"/>
              <w:jc w:val="both"/>
              <w:rPr>
                <w:rFonts w:ascii="Arial" w:hAnsi="Arial" w:cs="Arial"/>
                <w:sz w:val="20"/>
                <w:szCs w:val="20"/>
                <w:lang w:val="en-IN"/>
              </w:rPr>
            </w:pPr>
            <w:r w:rsidRPr="00186021">
              <w:rPr>
                <w:rFonts w:ascii="Arial" w:hAnsi="Arial" w:cs="Arial"/>
                <w:sz w:val="20"/>
                <w:szCs w:val="20"/>
                <w:lang w:val="en-IN"/>
              </w:rPr>
              <w:t>(</w:t>
            </w:r>
            <w:proofErr w:type="spellStart"/>
            <w:r w:rsidRPr="00186021">
              <w:rPr>
                <w:rFonts w:ascii="Arial" w:hAnsi="Arial" w:cs="Arial"/>
                <w:sz w:val="20"/>
                <w:szCs w:val="20"/>
                <w:lang w:val="en-IN"/>
              </w:rPr>
              <w:t>i</w:t>
            </w:r>
            <w:proofErr w:type="spellEnd"/>
            <w:r w:rsidRPr="00186021">
              <w:rPr>
                <w:rFonts w:ascii="Arial" w:hAnsi="Arial" w:cs="Arial"/>
                <w:sz w:val="20"/>
                <w:szCs w:val="20"/>
                <w:lang w:val="en-IN"/>
              </w:rPr>
              <w:t>)  ten percent of the aggregate value of paid</w:t>
            </w:r>
            <w:r>
              <w:rPr>
                <w:rFonts w:ascii="Arial" w:hAnsi="Arial" w:cs="Arial"/>
                <w:sz w:val="20"/>
                <w:szCs w:val="20"/>
                <w:lang w:val="en-IN"/>
              </w:rPr>
              <w:t>-up</w:t>
            </w:r>
            <w:r w:rsidRPr="00186021">
              <w:rPr>
                <w:rFonts w:ascii="Arial" w:hAnsi="Arial" w:cs="Arial"/>
                <w:sz w:val="20"/>
                <w:szCs w:val="20"/>
                <w:lang w:val="en-IN"/>
              </w:rPr>
              <w:t xml:space="preserve"> share capital and</w:t>
            </w:r>
            <w:r>
              <w:rPr>
                <w:rFonts w:ascii="Arial" w:hAnsi="Arial" w:cs="Arial"/>
                <w:sz w:val="20"/>
                <w:szCs w:val="20"/>
                <w:lang w:val="en-IN"/>
              </w:rPr>
              <w:t xml:space="preserve"> </w:t>
            </w:r>
            <w:r w:rsidRPr="00186021">
              <w:rPr>
                <w:rFonts w:ascii="Arial" w:hAnsi="Arial" w:cs="Arial"/>
                <w:sz w:val="20"/>
                <w:szCs w:val="20"/>
                <w:lang w:val="en-IN"/>
              </w:rPr>
              <w:t xml:space="preserve">securities </w:t>
            </w:r>
          </w:p>
          <w:p w14:paraId="5C8F9BFC" w14:textId="2C9A1E39" w:rsidR="00186021" w:rsidRDefault="00186021" w:rsidP="00186021">
            <w:pPr>
              <w:pStyle w:val="ListParagraph"/>
              <w:ind w:left="430"/>
              <w:jc w:val="both"/>
              <w:rPr>
                <w:rFonts w:ascii="Arial" w:hAnsi="Arial" w:cs="Arial"/>
                <w:sz w:val="20"/>
                <w:szCs w:val="20"/>
                <w:lang w:val="en-IN"/>
              </w:rPr>
            </w:pPr>
            <w:r w:rsidRPr="00186021">
              <w:rPr>
                <w:rFonts w:ascii="Arial" w:hAnsi="Arial" w:cs="Arial"/>
                <w:sz w:val="20"/>
                <w:szCs w:val="20"/>
                <w:lang w:val="en-IN"/>
              </w:rPr>
              <w:t>premium account of the subsidiary</w:t>
            </w:r>
            <w:r w:rsidR="00A71D20">
              <w:rPr>
                <w:rFonts w:ascii="Arial" w:hAnsi="Arial" w:cs="Arial"/>
                <w:sz w:val="20"/>
                <w:szCs w:val="20"/>
                <w:lang w:val="en-IN"/>
              </w:rPr>
              <w:t xml:space="preserve"> not older than 3 months prior to the date of seeking approval of the audit committee</w:t>
            </w:r>
            <w:r w:rsidRPr="00186021">
              <w:rPr>
                <w:rFonts w:ascii="Arial" w:hAnsi="Arial" w:cs="Arial"/>
                <w:sz w:val="20"/>
                <w:szCs w:val="20"/>
                <w:lang w:val="en-IN"/>
              </w:rPr>
              <w:t>; or</w:t>
            </w:r>
          </w:p>
          <w:p w14:paraId="26E4CB18" w14:textId="77777777" w:rsidR="00186021" w:rsidRDefault="00186021" w:rsidP="00186021">
            <w:pPr>
              <w:pStyle w:val="ListParagraph"/>
              <w:ind w:left="430"/>
              <w:jc w:val="both"/>
              <w:rPr>
                <w:rFonts w:ascii="Arial" w:hAnsi="Arial" w:cs="Arial"/>
                <w:sz w:val="20"/>
                <w:szCs w:val="20"/>
                <w:lang w:val="en-IN"/>
              </w:rPr>
            </w:pPr>
          </w:p>
          <w:p w14:paraId="46345308" w14:textId="4D821DBA" w:rsidR="00186021" w:rsidRPr="00186021" w:rsidRDefault="00186021" w:rsidP="00186021">
            <w:pPr>
              <w:pStyle w:val="ListParagraph"/>
              <w:ind w:left="430"/>
              <w:jc w:val="both"/>
              <w:rPr>
                <w:rFonts w:ascii="Arial" w:hAnsi="Arial" w:cs="Arial"/>
                <w:sz w:val="20"/>
                <w:szCs w:val="20"/>
                <w:lang w:val="en-IN"/>
              </w:rPr>
            </w:pPr>
            <w:r w:rsidRPr="00186021">
              <w:rPr>
                <w:rFonts w:ascii="Arial" w:hAnsi="Arial" w:cs="Arial"/>
                <w:sz w:val="20"/>
                <w:szCs w:val="20"/>
                <w:lang w:val="en-IN"/>
              </w:rPr>
              <w:t xml:space="preserve">(ii)  the threshold for material related </w:t>
            </w:r>
            <w:r w:rsidR="00574D66" w:rsidRPr="00186021">
              <w:rPr>
                <w:rFonts w:ascii="Arial" w:hAnsi="Arial" w:cs="Arial"/>
                <w:sz w:val="20"/>
                <w:szCs w:val="20"/>
                <w:lang w:val="en-IN"/>
              </w:rPr>
              <w:t>party transactions of listed entity</w:t>
            </w:r>
            <w:r>
              <w:rPr>
                <w:rFonts w:ascii="Arial" w:hAnsi="Arial" w:cs="Arial"/>
                <w:sz w:val="20"/>
                <w:szCs w:val="20"/>
                <w:lang w:val="en-IN"/>
              </w:rPr>
              <w:t xml:space="preserve"> </w:t>
            </w:r>
            <w:r w:rsidRPr="00186021">
              <w:rPr>
                <w:rFonts w:ascii="Arial" w:hAnsi="Arial" w:cs="Arial"/>
                <w:sz w:val="20"/>
                <w:szCs w:val="20"/>
                <w:lang w:val="en-IN"/>
              </w:rPr>
              <w:t xml:space="preserve">as </w:t>
            </w:r>
            <w:r w:rsidRPr="00186021">
              <w:rPr>
                <w:rFonts w:ascii="Arial" w:hAnsi="Arial" w:cs="Arial"/>
                <w:sz w:val="20"/>
                <w:szCs w:val="20"/>
                <w:lang w:val="en-IN"/>
              </w:rPr>
              <w:lastRenderedPageBreak/>
              <w:t>specified in Schedule XII of these regulations:</w:t>
            </w:r>
          </w:p>
          <w:p w14:paraId="2ABC7B78" w14:textId="77777777" w:rsidR="00186021" w:rsidRPr="00F70E41" w:rsidRDefault="00186021" w:rsidP="00F70E41">
            <w:pPr>
              <w:pStyle w:val="ListParagraph"/>
              <w:ind w:left="430"/>
              <w:jc w:val="both"/>
              <w:rPr>
                <w:rFonts w:ascii="Arial" w:hAnsi="Arial" w:cs="Arial"/>
                <w:sz w:val="20"/>
                <w:szCs w:val="20"/>
                <w:lang w:val="en-IN"/>
              </w:rPr>
            </w:pPr>
          </w:p>
          <w:p w14:paraId="12C00FE4" w14:textId="00344260" w:rsidR="00BA1A62" w:rsidRPr="002D4BCA" w:rsidRDefault="00BA1A62" w:rsidP="001E2557">
            <w:pPr>
              <w:pStyle w:val="Default"/>
              <w:jc w:val="both"/>
              <w:rPr>
                <w:sz w:val="20"/>
                <w:szCs w:val="20"/>
              </w:rPr>
            </w:pPr>
            <w:r w:rsidRPr="002D4BCA">
              <w:rPr>
                <w:sz w:val="20"/>
                <w:szCs w:val="20"/>
              </w:rPr>
              <w:t>Provided that</w:t>
            </w:r>
          </w:p>
          <w:p w14:paraId="6D2E63A9" w14:textId="77777777" w:rsidR="00BA1A62" w:rsidRPr="002D4BCA" w:rsidRDefault="00BA1A62" w:rsidP="001E2557">
            <w:pPr>
              <w:pStyle w:val="Default"/>
              <w:jc w:val="both"/>
              <w:rPr>
                <w:sz w:val="20"/>
                <w:szCs w:val="20"/>
              </w:rPr>
            </w:pPr>
          </w:p>
          <w:p w14:paraId="27B22F53" w14:textId="77777777" w:rsidR="00BA1A62" w:rsidRPr="002D4BCA" w:rsidRDefault="00BA1A62" w:rsidP="002D4BCA">
            <w:pPr>
              <w:pStyle w:val="ListParagraph"/>
              <w:numPr>
                <w:ilvl w:val="0"/>
                <w:numId w:val="16"/>
              </w:numPr>
              <w:ind w:left="510"/>
              <w:jc w:val="both"/>
              <w:rPr>
                <w:rFonts w:ascii="Arial" w:hAnsi="Arial" w:cs="Arial"/>
                <w:sz w:val="20"/>
                <w:szCs w:val="20"/>
              </w:rPr>
            </w:pPr>
            <w:r w:rsidRPr="002D4BCA">
              <w:rPr>
                <w:rFonts w:ascii="Arial" w:hAnsi="Arial" w:cs="Arial"/>
                <w:sz w:val="20"/>
                <w:szCs w:val="20"/>
              </w:rPr>
              <w:t>Members of the Audit Committee, who are independent directors, shall only approve RPTs.</w:t>
            </w:r>
          </w:p>
          <w:p w14:paraId="79CE5066" w14:textId="77777777" w:rsidR="00BA1A62" w:rsidRPr="002D4BCA" w:rsidRDefault="00BA1A62" w:rsidP="002D4BCA">
            <w:pPr>
              <w:pStyle w:val="ListParagraph"/>
              <w:ind w:left="510"/>
              <w:jc w:val="both"/>
              <w:rPr>
                <w:rFonts w:ascii="Arial" w:hAnsi="Arial" w:cs="Arial"/>
                <w:sz w:val="20"/>
                <w:szCs w:val="20"/>
              </w:rPr>
            </w:pPr>
          </w:p>
          <w:p w14:paraId="7AEF63AB" w14:textId="4F362D66" w:rsidR="00BA1A62" w:rsidRPr="002D4BCA" w:rsidRDefault="00BA1A62" w:rsidP="002D4BCA">
            <w:pPr>
              <w:pStyle w:val="ListParagraph"/>
              <w:numPr>
                <w:ilvl w:val="0"/>
                <w:numId w:val="16"/>
              </w:numPr>
              <w:ind w:left="510"/>
              <w:jc w:val="both"/>
              <w:rPr>
                <w:rFonts w:ascii="Arial" w:hAnsi="Arial" w:cs="Arial"/>
                <w:sz w:val="20"/>
                <w:szCs w:val="20"/>
              </w:rPr>
            </w:pPr>
            <w:r w:rsidRPr="002D4BCA">
              <w:rPr>
                <w:rFonts w:ascii="Arial" w:hAnsi="Arial" w:cs="Arial"/>
                <w:sz w:val="20"/>
                <w:szCs w:val="20"/>
              </w:rPr>
              <w:t>The Company may obtain omnibus approval from the Audit Committee for RPTs where the Company</w:t>
            </w:r>
            <w:r w:rsidR="001E14D9">
              <w:rPr>
                <w:rFonts w:ascii="Arial" w:hAnsi="Arial" w:cs="Arial"/>
                <w:sz w:val="20"/>
                <w:szCs w:val="20"/>
              </w:rPr>
              <w:t xml:space="preserve"> or its subsidiary</w:t>
            </w:r>
            <w:r w:rsidRPr="002D4BCA">
              <w:rPr>
                <w:rFonts w:ascii="Arial" w:hAnsi="Arial" w:cs="Arial"/>
                <w:sz w:val="20"/>
                <w:szCs w:val="20"/>
              </w:rPr>
              <w:t xml:space="preserve"> is a party</w:t>
            </w:r>
            <w:r w:rsidR="001E14D9">
              <w:rPr>
                <w:rFonts w:ascii="Arial" w:hAnsi="Arial" w:cs="Arial"/>
                <w:sz w:val="20"/>
                <w:szCs w:val="20"/>
              </w:rPr>
              <w:t xml:space="preserve"> </w:t>
            </w:r>
            <w:r w:rsidRPr="002D4BCA">
              <w:rPr>
                <w:rFonts w:ascii="Arial" w:hAnsi="Arial" w:cs="Arial"/>
                <w:sz w:val="20"/>
                <w:szCs w:val="20"/>
              </w:rPr>
              <w:t xml:space="preserve">subject to compliance with the conditions stipulated under the Act read with the Rules framed thereunder and the SEBI Listing Regulations. </w:t>
            </w:r>
          </w:p>
          <w:p w14:paraId="53269A50" w14:textId="77777777" w:rsidR="00BA1A62" w:rsidRPr="002D4BCA" w:rsidRDefault="00BA1A62" w:rsidP="001E2557">
            <w:pPr>
              <w:rPr>
                <w:rFonts w:ascii="Arial" w:hAnsi="Arial" w:cs="Arial"/>
                <w:sz w:val="20"/>
                <w:szCs w:val="20"/>
              </w:rPr>
            </w:pPr>
          </w:p>
        </w:tc>
        <w:tc>
          <w:tcPr>
            <w:tcW w:w="3600" w:type="dxa"/>
          </w:tcPr>
          <w:p w14:paraId="0AFAC9BB" w14:textId="77777777" w:rsidR="00BA1A62" w:rsidRPr="002D4BCA" w:rsidRDefault="00BA1A62" w:rsidP="001E2557">
            <w:pPr>
              <w:pStyle w:val="Default"/>
              <w:rPr>
                <w:color w:val="auto"/>
                <w:sz w:val="20"/>
                <w:szCs w:val="20"/>
              </w:rPr>
            </w:pPr>
          </w:p>
          <w:p w14:paraId="5219B62B" w14:textId="77777777" w:rsidR="00BA1A62" w:rsidRPr="002D4BCA" w:rsidRDefault="00BA1A62" w:rsidP="00BA1A62">
            <w:pPr>
              <w:pStyle w:val="Default"/>
              <w:numPr>
                <w:ilvl w:val="0"/>
                <w:numId w:val="12"/>
              </w:numPr>
              <w:ind w:left="406"/>
              <w:jc w:val="both"/>
              <w:rPr>
                <w:sz w:val="20"/>
                <w:szCs w:val="20"/>
              </w:rPr>
            </w:pPr>
            <w:r w:rsidRPr="002D4BCA">
              <w:rPr>
                <w:sz w:val="20"/>
                <w:szCs w:val="20"/>
              </w:rPr>
              <w:t xml:space="preserve">Related Party Transactions referred by Audit Committee for approval of the Board </w:t>
            </w:r>
          </w:p>
          <w:p w14:paraId="3F6E620B" w14:textId="77777777" w:rsidR="00BA1A62" w:rsidRPr="002D4BCA" w:rsidRDefault="00BA1A62" w:rsidP="001E2557">
            <w:pPr>
              <w:pStyle w:val="Default"/>
              <w:ind w:left="406"/>
              <w:jc w:val="both"/>
              <w:rPr>
                <w:sz w:val="20"/>
                <w:szCs w:val="20"/>
              </w:rPr>
            </w:pPr>
          </w:p>
          <w:p w14:paraId="08B41259" w14:textId="1C295228" w:rsidR="00BA1A62" w:rsidRPr="002D4BCA" w:rsidRDefault="00BA1A62" w:rsidP="00BA1A62">
            <w:pPr>
              <w:pStyle w:val="Default"/>
              <w:numPr>
                <w:ilvl w:val="0"/>
                <w:numId w:val="12"/>
              </w:numPr>
              <w:ind w:left="406"/>
              <w:jc w:val="both"/>
              <w:rPr>
                <w:sz w:val="20"/>
                <w:szCs w:val="20"/>
              </w:rPr>
            </w:pPr>
            <w:r w:rsidRPr="002D4BCA">
              <w:rPr>
                <w:sz w:val="20"/>
                <w:szCs w:val="20"/>
              </w:rPr>
              <w:t>Related Party Transactions, to be approved by the Board, as required under the applicable Law/Regulations applicable to the Company.</w:t>
            </w:r>
          </w:p>
          <w:p w14:paraId="7F308558" w14:textId="77777777" w:rsidR="00BA1A62" w:rsidRPr="002D4BCA" w:rsidRDefault="00BA1A62" w:rsidP="001E2557">
            <w:pPr>
              <w:pStyle w:val="ListParagraph"/>
              <w:rPr>
                <w:sz w:val="20"/>
                <w:szCs w:val="20"/>
              </w:rPr>
            </w:pPr>
          </w:p>
          <w:p w14:paraId="037876D6" w14:textId="0777F9C7" w:rsidR="00BA1A62" w:rsidRPr="002D4BCA" w:rsidRDefault="00BA1A62" w:rsidP="00BA1A62">
            <w:pPr>
              <w:pStyle w:val="Default"/>
              <w:numPr>
                <w:ilvl w:val="0"/>
                <w:numId w:val="12"/>
              </w:numPr>
              <w:ind w:left="406"/>
              <w:jc w:val="both"/>
              <w:rPr>
                <w:sz w:val="20"/>
                <w:szCs w:val="20"/>
              </w:rPr>
            </w:pPr>
            <w:r w:rsidRPr="002D4BCA">
              <w:rPr>
                <w:sz w:val="20"/>
                <w:szCs w:val="20"/>
              </w:rPr>
              <w:t>Related Party Transactions</w:t>
            </w:r>
            <w:r w:rsidR="00786E37">
              <w:rPr>
                <w:sz w:val="20"/>
                <w:szCs w:val="20"/>
              </w:rPr>
              <w:t xml:space="preserve"> which</w:t>
            </w:r>
            <w:r w:rsidRPr="002D4BCA">
              <w:rPr>
                <w:sz w:val="20"/>
                <w:szCs w:val="20"/>
              </w:rPr>
              <w:t xml:space="preserve"> </w:t>
            </w:r>
            <w:r w:rsidR="00786E37">
              <w:rPr>
                <w:sz w:val="20"/>
                <w:szCs w:val="20"/>
              </w:rPr>
              <w:t>are required to approved by the</w:t>
            </w:r>
            <w:r w:rsidRPr="002D4BCA">
              <w:rPr>
                <w:sz w:val="20"/>
                <w:szCs w:val="20"/>
              </w:rPr>
              <w:t xml:space="preserve"> </w:t>
            </w:r>
            <w:r w:rsidR="008C1D85" w:rsidRPr="002D4BCA">
              <w:rPr>
                <w:sz w:val="20"/>
                <w:szCs w:val="20"/>
              </w:rPr>
              <w:t>shareholders</w:t>
            </w:r>
            <w:r w:rsidRPr="002D4BCA">
              <w:rPr>
                <w:sz w:val="20"/>
                <w:szCs w:val="20"/>
              </w:rPr>
              <w:t xml:space="preserve"> </w:t>
            </w:r>
            <w:r w:rsidR="00786E37">
              <w:rPr>
                <w:sz w:val="20"/>
                <w:szCs w:val="20"/>
              </w:rPr>
              <w:t>shall be approved by the Board prior to Shareholders approval.</w:t>
            </w:r>
            <w:r w:rsidRPr="002D4BCA">
              <w:rPr>
                <w:sz w:val="20"/>
                <w:szCs w:val="20"/>
              </w:rPr>
              <w:t xml:space="preserve"> </w:t>
            </w:r>
          </w:p>
          <w:p w14:paraId="3F739894" w14:textId="56B130B9" w:rsidR="00BA1A62" w:rsidRDefault="00BA1A62" w:rsidP="001E2557">
            <w:pPr>
              <w:rPr>
                <w:rFonts w:ascii="Arial" w:hAnsi="Arial" w:cs="Arial"/>
                <w:b/>
                <w:bCs/>
                <w:sz w:val="20"/>
                <w:szCs w:val="20"/>
              </w:rPr>
            </w:pPr>
          </w:p>
          <w:p w14:paraId="50B13F61" w14:textId="06FD1D55" w:rsidR="00BA1A62" w:rsidRPr="002D4BCA" w:rsidRDefault="00BA1A62" w:rsidP="001E2557">
            <w:pPr>
              <w:jc w:val="both"/>
              <w:rPr>
                <w:rFonts w:ascii="Arial" w:hAnsi="Arial" w:cs="Arial"/>
                <w:sz w:val="20"/>
                <w:szCs w:val="20"/>
              </w:rPr>
            </w:pPr>
            <w:r w:rsidRPr="002D4BCA">
              <w:rPr>
                <w:rFonts w:ascii="Arial" w:hAnsi="Arial" w:cs="Arial"/>
                <w:b/>
                <w:bCs/>
                <w:sz w:val="20"/>
                <w:szCs w:val="20"/>
              </w:rPr>
              <w:t xml:space="preserve">Provided that </w:t>
            </w:r>
            <w:r w:rsidR="00DF5CD6" w:rsidRPr="002D4BCA">
              <w:rPr>
                <w:rFonts w:ascii="Arial" w:hAnsi="Arial" w:cs="Arial"/>
                <w:sz w:val="20"/>
                <w:szCs w:val="20"/>
              </w:rPr>
              <w:t>where</w:t>
            </w:r>
            <w:r w:rsidRPr="002D4BCA">
              <w:rPr>
                <w:rFonts w:ascii="Arial" w:hAnsi="Arial" w:cs="Arial"/>
                <w:sz w:val="20"/>
                <w:szCs w:val="20"/>
              </w:rPr>
              <w:t xml:space="preserve"> any director is interested in any contract or arrangement with a related party, such director shall not participate during discussions and vote on the subject matter of the resolution related to such contract or arrangement.</w:t>
            </w:r>
          </w:p>
          <w:p w14:paraId="3AD94F5E" w14:textId="77777777" w:rsidR="00BA1A62" w:rsidRPr="002D4BCA" w:rsidRDefault="00BA1A62" w:rsidP="001E2557">
            <w:pPr>
              <w:rPr>
                <w:rFonts w:ascii="Arial" w:hAnsi="Arial" w:cs="Arial"/>
                <w:b/>
                <w:bCs/>
                <w:sz w:val="20"/>
                <w:szCs w:val="20"/>
              </w:rPr>
            </w:pPr>
          </w:p>
        </w:tc>
        <w:tc>
          <w:tcPr>
            <w:tcW w:w="3240" w:type="dxa"/>
          </w:tcPr>
          <w:p w14:paraId="3DC6AEE7" w14:textId="77777777" w:rsidR="00BA1A62" w:rsidRPr="002D4BCA" w:rsidRDefault="00BA1A62" w:rsidP="001E2557">
            <w:pPr>
              <w:pStyle w:val="Default"/>
              <w:rPr>
                <w:color w:val="auto"/>
                <w:sz w:val="20"/>
                <w:szCs w:val="20"/>
              </w:rPr>
            </w:pPr>
          </w:p>
          <w:p w14:paraId="0A30A106" w14:textId="77777777" w:rsidR="00BA1A62" w:rsidRPr="002D4BCA" w:rsidRDefault="00BA1A62" w:rsidP="003C24CB">
            <w:pPr>
              <w:pStyle w:val="Default"/>
              <w:numPr>
                <w:ilvl w:val="0"/>
                <w:numId w:val="12"/>
              </w:numPr>
              <w:ind w:left="346"/>
              <w:jc w:val="both"/>
              <w:rPr>
                <w:sz w:val="20"/>
                <w:szCs w:val="20"/>
              </w:rPr>
            </w:pPr>
            <w:r w:rsidRPr="002D4BCA">
              <w:rPr>
                <w:sz w:val="20"/>
                <w:szCs w:val="20"/>
              </w:rPr>
              <w:t>Material Related Party Transactions including Material Modifications thereto</w:t>
            </w:r>
          </w:p>
          <w:p w14:paraId="069E1323" w14:textId="77777777" w:rsidR="00BA1A62" w:rsidRPr="002D4BCA" w:rsidRDefault="00BA1A62" w:rsidP="001E2557">
            <w:pPr>
              <w:pStyle w:val="Default"/>
              <w:ind w:left="346"/>
              <w:jc w:val="both"/>
              <w:rPr>
                <w:sz w:val="20"/>
                <w:szCs w:val="20"/>
              </w:rPr>
            </w:pPr>
            <w:r w:rsidRPr="002D4BCA">
              <w:rPr>
                <w:sz w:val="20"/>
                <w:szCs w:val="20"/>
              </w:rPr>
              <w:t xml:space="preserve"> </w:t>
            </w:r>
          </w:p>
          <w:p w14:paraId="7950E2C7" w14:textId="77777777" w:rsidR="00BA1A62" w:rsidRPr="002D4BCA" w:rsidRDefault="00BA1A62" w:rsidP="00BA1A62">
            <w:pPr>
              <w:pStyle w:val="Default"/>
              <w:numPr>
                <w:ilvl w:val="0"/>
                <w:numId w:val="12"/>
              </w:numPr>
              <w:ind w:left="346"/>
              <w:jc w:val="both"/>
              <w:rPr>
                <w:sz w:val="20"/>
                <w:szCs w:val="20"/>
              </w:rPr>
            </w:pPr>
            <w:r w:rsidRPr="002D4BCA">
              <w:rPr>
                <w:sz w:val="20"/>
                <w:szCs w:val="20"/>
              </w:rPr>
              <w:t xml:space="preserve">Related Party Transactions not in Ordinary Course of Business or not on Arm's length basis and crosses threshold limit as prescribed under the Act / Regulations applicable to the Company </w:t>
            </w:r>
          </w:p>
          <w:p w14:paraId="2F18EDEC" w14:textId="77777777" w:rsidR="00BA1A62" w:rsidRPr="002D4BCA" w:rsidRDefault="00BA1A62" w:rsidP="001E2557">
            <w:pPr>
              <w:rPr>
                <w:rFonts w:ascii="Arial" w:hAnsi="Arial" w:cs="Arial"/>
                <w:b/>
                <w:bCs/>
                <w:sz w:val="20"/>
                <w:szCs w:val="20"/>
              </w:rPr>
            </w:pPr>
          </w:p>
        </w:tc>
      </w:tr>
    </w:tbl>
    <w:p w14:paraId="08516462" w14:textId="41B211F1" w:rsidR="003C24CB" w:rsidRPr="008C1D85" w:rsidRDefault="00BA1A62" w:rsidP="008C1D85">
      <w:pPr>
        <w:pStyle w:val="Default"/>
        <w:contextualSpacing/>
        <w:jc w:val="both"/>
        <w:rPr>
          <w:b/>
          <w:bCs/>
          <w:sz w:val="20"/>
          <w:szCs w:val="20"/>
        </w:rPr>
      </w:pPr>
      <w:r w:rsidRPr="008C1D85">
        <w:rPr>
          <w:b/>
          <w:bCs/>
          <w:sz w:val="20"/>
          <w:szCs w:val="20"/>
        </w:rPr>
        <w:t xml:space="preserve">*Notes: </w:t>
      </w:r>
    </w:p>
    <w:p w14:paraId="3650D9B7" w14:textId="77777777" w:rsidR="00BA1A62" w:rsidRPr="008C1D85" w:rsidRDefault="00BA1A62" w:rsidP="008C1D85">
      <w:pPr>
        <w:pStyle w:val="Default"/>
        <w:numPr>
          <w:ilvl w:val="1"/>
          <w:numId w:val="12"/>
        </w:numPr>
        <w:ind w:left="360"/>
        <w:contextualSpacing/>
        <w:jc w:val="both"/>
        <w:rPr>
          <w:i/>
          <w:iCs/>
          <w:sz w:val="18"/>
          <w:szCs w:val="18"/>
        </w:rPr>
      </w:pPr>
      <w:r w:rsidRPr="008C1D85">
        <w:rPr>
          <w:i/>
          <w:iCs/>
          <w:sz w:val="18"/>
          <w:szCs w:val="18"/>
        </w:rPr>
        <w:t xml:space="preserve">No related party shall vote to approve relevant shareholders resolutions irrespective of whether the entity is a related party to the particular transaction or not. </w:t>
      </w:r>
    </w:p>
    <w:p w14:paraId="2F46D08A" w14:textId="77777777" w:rsidR="00BA1A62" w:rsidRPr="008C1D85" w:rsidRDefault="00BA1A62" w:rsidP="008C1D85">
      <w:pPr>
        <w:pStyle w:val="Default"/>
        <w:numPr>
          <w:ilvl w:val="1"/>
          <w:numId w:val="12"/>
        </w:numPr>
        <w:ind w:left="360"/>
        <w:contextualSpacing/>
        <w:jc w:val="both"/>
        <w:rPr>
          <w:i/>
          <w:iCs/>
          <w:sz w:val="18"/>
          <w:szCs w:val="18"/>
        </w:rPr>
      </w:pPr>
      <w:r w:rsidRPr="008C1D85">
        <w:rPr>
          <w:i/>
          <w:iCs/>
          <w:sz w:val="18"/>
          <w:szCs w:val="18"/>
        </w:rPr>
        <w:t xml:space="preserve">The requirement for seeking shareholders’ approval shall not be applicable to transactions as specified in the Framework for Related Party Transactions. </w:t>
      </w:r>
    </w:p>
    <w:p w14:paraId="67133E62" w14:textId="77777777" w:rsidR="00680335" w:rsidRDefault="00680335" w:rsidP="003C24CB">
      <w:pPr>
        <w:pStyle w:val="ListParagraph"/>
        <w:ind w:left="1890" w:hanging="360"/>
        <w:jc w:val="both"/>
        <w:rPr>
          <w:rFonts w:ascii="Arial" w:hAnsi="Arial" w:cs="Arial"/>
        </w:rPr>
      </w:pPr>
    </w:p>
    <w:p w14:paraId="1E03F68C" w14:textId="52A17D18" w:rsidR="00E56375" w:rsidRPr="008C1D85" w:rsidRDefault="00680335" w:rsidP="00680335">
      <w:pPr>
        <w:pStyle w:val="ListParagraph"/>
        <w:numPr>
          <w:ilvl w:val="0"/>
          <w:numId w:val="1"/>
        </w:numPr>
        <w:ind w:left="360"/>
        <w:rPr>
          <w:rFonts w:ascii="Arial" w:hAnsi="Arial" w:cs="Arial"/>
          <w:b/>
          <w:bCs/>
          <w:u w:val="single"/>
        </w:rPr>
      </w:pPr>
      <w:r w:rsidRPr="008C1D85">
        <w:rPr>
          <w:rFonts w:ascii="Arial" w:hAnsi="Arial" w:cs="Arial"/>
          <w:b/>
          <w:bCs/>
          <w:u w:val="single"/>
        </w:rPr>
        <w:t>Disclosure of related party transactions and Reporting’s</w:t>
      </w:r>
    </w:p>
    <w:p w14:paraId="01312AE5" w14:textId="5B93C567" w:rsidR="00E56375" w:rsidRDefault="00A47FC9" w:rsidP="00A47FC9">
      <w:pPr>
        <w:jc w:val="both"/>
        <w:rPr>
          <w:rFonts w:ascii="Arial" w:hAnsi="Arial" w:cs="Arial"/>
        </w:rPr>
      </w:pPr>
      <w:r w:rsidRPr="00680335">
        <w:rPr>
          <w:rFonts w:ascii="Arial" w:hAnsi="Arial" w:cs="Arial"/>
        </w:rPr>
        <w:t xml:space="preserve">The particulars of Related Party Transactions shall be entered in the register(s) maintained under the Act, wherever applicable and shall be disclosed in such manner as may be prescribed under the Listing Regulations, the Act and Rules. </w:t>
      </w:r>
    </w:p>
    <w:p w14:paraId="59E0A949" w14:textId="1ACB2F96" w:rsidR="00735CE7" w:rsidRDefault="00735CE7" w:rsidP="00020BDF">
      <w:pPr>
        <w:pStyle w:val="Default"/>
        <w:rPr>
          <w:b/>
          <w:bCs/>
          <w:sz w:val="22"/>
          <w:szCs w:val="22"/>
        </w:rPr>
      </w:pPr>
      <w:r>
        <w:rPr>
          <w:b/>
          <w:bCs/>
          <w:sz w:val="22"/>
          <w:szCs w:val="22"/>
        </w:rPr>
        <w:t xml:space="preserve">8) </w:t>
      </w:r>
      <w:r w:rsidRPr="008C1D85">
        <w:rPr>
          <w:b/>
          <w:bCs/>
          <w:sz w:val="22"/>
          <w:szCs w:val="22"/>
          <w:u w:val="single"/>
        </w:rPr>
        <w:t>Ratification of Related Party Transactions</w:t>
      </w:r>
    </w:p>
    <w:p w14:paraId="4DCAE5C8" w14:textId="77777777" w:rsidR="00735CE7" w:rsidRDefault="00735CE7" w:rsidP="00020BDF">
      <w:pPr>
        <w:pStyle w:val="Default"/>
        <w:rPr>
          <w:b/>
          <w:bCs/>
          <w:sz w:val="22"/>
          <w:szCs w:val="22"/>
        </w:rPr>
      </w:pPr>
    </w:p>
    <w:p w14:paraId="0DA682EB" w14:textId="155003D7" w:rsidR="00735CE7" w:rsidRDefault="00735CE7" w:rsidP="00A71D20">
      <w:pPr>
        <w:pStyle w:val="Default"/>
        <w:jc w:val="both"/>
        <w:rPr>
          <w:sz w:val="22"/>
          <w:szCs w:val="22"/>
        </w:rPr>
      </w:pPr>
      <w:r>
        <w:rPr>
          <w:sz w:val="22"/>
          <w:szCs w:val="22"/>
        </w:rPr>
        <w:t xml:space="preserve">The members of the audit committee, who are independent directors, may ratify related party transactions within 3 months from the date of the transaction or in the immediate next meeting of the audit committee, whichever is earlier, subject to the following </w:t>
      </w:r>
      <w:r w:rsidR="008C1D85">
        <w:rPr>
          <w:sz w:val="22"/>
          <w:szCs w:val="22"/>
        </w:rPr>
        <w:t>conditions: -</w:t>
      </w:r>
    </w:p>
    <w:p w14:paraId="429ED4B5" w14:textId="77777777" w:rsidR="00735CE7" w:rsidRDefault="00735CE7" w:rsidP="00020BDF">
      <w:pPr>
        <w:pStyle w:val="Default"/>
        <w:rPr>
          <w:sz w:val="22"/>
          <w:szCs w:val="22"/>
        </w:rPr>
      </w:pPr>
    </w:p>
    <w:p w14:paraId="3E0B5985" w14:textId="1A558C99" w:rsidR="00020BDF" w:rsidRDefault="00735CE7" w:rsidP="00020BDF">
      <w:pPr>
        <w:pStyle w:val="Default"/>
        <w:rPr>
          <w:b/>
          <w:bCs/>
          <w:sz w:val="22"/>
          <w:szCs w:val="22"/>
        </w:rPr>
      </w:pPr>
      <w:r>
        <w:rPr>
          <w:b/>
          <w:bCs/>
          <w:sz w:val="22"/>
          <w:szCs w:val="22"/>
        </w:rPr>
        <w:t>9</w:t>
      </w:r>
      <w:r w:rsidR="00020BDF" w:rsidRPr="00680335">
        <w:rPr>
          <w:b/>
          <w:bCs/>
          <w:sz w:val="22"/>
          <w:szCs w:val="22"/>
        </w:rPr>
        <w:t xml:space="preserve">. </w:t>
      </w:r>
      <w:r w:rsidR="00020BDF" w:rsidRPr="008C1D85">
        <w:rPr>
          <w:b/>
          <w:bCs/>
          <w:sz w:val="22"/>
          <w:szCs w:val="22"/>
          <w:u w:val="single"/>
        </w:rPr>
        <w:t>Review of the Policy</w:t>
      </w:r>
      <w:r w:rsidR="00020BDF" w:rsidRPr="00680335">
        <w:rPr>
          <w:b/>
          <w:bCs/>
          <w:sz w:val="22"/>
          <w:szCs w:val="22"/>
        </w:rPr>
        <w:t xml:space="preserve"> </w:t>
      </w:r>
    </w:p>
    <w:p w14:paraId="21205AAE" w14:textId="77777777" w:rsidR="00680335" w:rsidRPr="00680335" w:rsidRDefault="00680335" w:rsidP="00020BDF">
      <w:pPr>
        <w:pStyle w:val="Default"/>
        <w:rPr>
          <w:sz w:val="22"/>
          <w:szCs w:val="22"/>
        </w:rPr>
      </w:pPr>
    </w:p>
    <w:p w14:paraId="54C2C6B7" w14:textId="7F96BB20" w:rsidR="00680335" w:rsidRDefault="00680335" w:rsidP="00455DC4">
      <w:pPr>
        <w:spacing w:after="0" w:line="240" w:lineRule="auto"/>
        <w:jc w:val="both"/>
        <w:rPr>
          <w:rFonts w:ascii="Arial" w:hAnsi="Arial" w:cs="Arial"/>
        </w:rPr>
      </w:pPr>
      <w:r w:rsidRPr="00680335">
        <w:rPr>
          <w:rFonts w:ascii="Arial" w:hAnsi="Arial" w:cs="Arial"/>
        </w:rPr>
        <w:t>The adequacy of this Policy shall be reviewed and reassessed by the Audit Committee</w:t>
      </w:r>
      <w:r>
        <w:rPr>
          <w:rFonts w:ascii="Arial" w:hAnsi="Arial" w:cs="Arial"/>
        </w:rPr>
        <w:t xml:space="preserve"> </w:t>
      </w:r>
      <w:r w:rsidRPr="00680335">
        <w:rPr>
          <w:rFonts w:ascii="Arial" w:hAnsi="Arial" w:cs="Arial"/>
        </w:rPr>
        <w:t>periodically and appropriate recommendations shall be made to the Board to update the Policy</w:t>
      </w:r>
      <w:r w:rsidR="00455DC4">
        <w:rPr>
          <w:rFonts w:ascii="Arial" w:hAnsi="Arial" w:cs="Arial"/>
        </w:rPr>
        <w:t xml:space="preserve"> </w:t>
      </w:r>
      <w:r w:rsidRPr="00680335">
        <w:rPr>
          <w:rFonts w:ascii="Arial" w:hAnsi="Arial" w:cs="Arial"/>
        </w:rPr>
        <w:t>based on the changes that may be brought about due to any regulatory amendments or</w:t>
      </w:r>
      <w:r w:rsidR="00C65745">
        <w:rPr>
          <w:rFonts w:ascii="Arial" w:hAnsi="Arial" w:cs="Arial"/>
        </w:rPr>
        <w:t xml:space="preserve"> </w:t>
      </w:r>
      <w:r w:rsidRPr="00680335">
        <w:rPr>
          <w:rFonts w:ascii="Arial" w:hAnsi="Arial" w:cs="Arial"/>
        </w:rPr>
        <w:t>otherwise. The policy shall be reviewed by the board of directors at least once every three years</w:t>
      </w:r>
      <w:r w:rsidR="00C65745">
        <w:rPr>
          <w:rFonts w:ascii="Arial" w:hAnsi="Arial" w:cs="Arial"/>
        </w:rPr>
        <w:t xml:space="preserve"> </w:t>
      </w:r>
      <w:r w:rsidRPr="00680335">
        <w:rPr>
          <w:rFonts w:ascii="Arial" w:hAnsi="Arial" w:cs="Arial"/>
        </w:rPr>
        <w:t>including clearly specifying threshold limits and updated accordingly.</w:t>
      </w:r>
    </w:p>
    <w:p w14:paraId="3DCC3F68" w14:textId="77777777" w:rsidR="00455DC4" w:rsidRDefault="00455DC4" w:rsidP="00680335">
      <w:pPr>
        <w:spacing w:after="0" w:line="240" w:lineRule="auto"/>
        <w:jc w:val="both"/>
        <w:rPr>
          <w:rFonts w:ascii="Arial" w:hAnsi="Arial" w:cs="Arial"/>
        </w:rPr>
      </w:pPr>
    </w:p>
    <w:p w14:paraId="76B587D2" w14:textId="3F590287" w:rsidR="00020BDF" w:rsidRPr="00735CE7" w:rsidRDefault="00020BDF" w:rsidP="00680335">
      <w:pPr>
        <w:jc w:val="both"/>
        <w:rPr>
          <w:rFonts w:ascii="Arial" w:hAnsi="Arial" w:cs="Arial"/>
          <w:sz w:val="18"/>
          <w:szCs w:val="18"/>
        </w:rPr>
      </w:pPr>
      <w:r w:rsidRPr="00735CE7">
        <w:rPr>
          <w:i/>
          <w:iCs/>
          <w:sz w:val="18"/>
          <w:szCs w:val="18"/>
        </w:rPr>
        <w:t>Provisions of this Policy would be subject to revision / amendment in accordance with the Rules, Regulations, Notifications, etc. on the subject as may be issued by relevant statutory authorities, from time to time. In case of any amendment(s), clarification(s), circular(s), etc. issued by the relevant authorities, not being consistent with the provisions laid down under this Policy, then such amendment(s), clarification(s), circular(s), etc. shall prevail upon the provisions hereunder and this Policy shall stand amended accordingly from the effective date as laid down under such amendment(s), clarification(s), circular(s), etc.</w:t>
      </w:r>
    </w:p>
    <w:sectPr w:rsidR="00020BDF" w:rsidRPr="00735CE7" w:rsidSect="00D943E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F0E95" w14:textId="77777777" w:rsidR="00A21598" w:rsidRDefault="00A21598" w:rsidP="00D943E7">
      <w:pPr>
        <w:spacing w:after="0" w:line="240" w:lineRule="auto"/>
      </w:pPr>
      <w:r>
        <w:separator/>
      </w:r>
    </w:p>
  </w:endnote>
  <w:endnote w:type="continuationSeparator" w:id="0">
    <w:p w14:paraId="2617EC3A" w14:textId="77777777" w:rsidR="00A21598" w:rsidRDefault="00A21598" w:rsidP="00D94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D7DC" w14:textId="77777777" w:rsidR="00DF5CD6" w:rsidRDefault="00DF5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384841"/>
      <w:docPartObj>
        <w:docPartGallery w:val="Page Numbers (Bottom of Page)"/>
        <w:docPartUnique/>
      </w:docPartObj>
    </w:sdtPr>
    <w:sdtEndPr/>
    <w:sdtContent>
      <w:sdt>
        <w:sdtPr>
          <w:id w:val="-1705238520"/>
          <w:docPartObj>
            <w:docPartGallery w:val="Page Numbers (Top of Page)"/>
            <w:docPartUnique/>
          </w:docPartObj>
        </w:sdtPr>
        <w:sdtEndPr/>
        <w:sdtContent>
          <w:p w14:paraId="4FF5EC2C" w14:textId="31199BE1" w:rsidR="00735CE7" w:rsidRDefault="00735CE7" w:rsidP="00735CE7">
            <w:pPr>
              <w:pStyle w:val="Footer"/>
              <w:jc w:val="center"/>
            </w:pPr>
            <w:r w:rsidRPr="00735CE7">
              <w:rPr>
                <w:rFonts w:ascii="Algerian" w:hAnsi="Algerian"/>
                <w:sz w:val="18"/>
                <w:szCs w:val="18"/>
              </w:rPr>
              <w:t xml:space="preserve">Page </w:t>
            </w:r>
            <w:r w:rsidRPr="00735CE7">
              <w:rPr>
                <w:rFonts w:ascii="Algerian" w:hAnsi="Algerian"/>
                <w:b/>
                <w:bCs/>
                <w:sz w:val="20"/>
                <w:szCs w:val="20"/>
              </w:rPr>
              <w:fldChar w:fldCharType="begin"/>
            </w:r>
            <w:r w:rsidRPr="00735CE7">
              <w:rPr>
                <w:rFonts w:ascii="Algerian" w:hAnsi="Algerian"/>
                <w:b/>
                <w:bCs/>
                <w:sz w:val="18"/>
                <w:szCs w:val="18"/>
              </w:rPr>
              <w:instrText xml:space="preserve"> PAGE </w:instrText>
            </w:r>
            <w:r w:rsidRPr="00735CE7">
              <w:rPr>
                <w:rFonts w:ascii="Algerian" w:hAnsi="Algerian"/>
                <w:b/>
                <w:bCs/>
                <w:sz w:val="20"/>
                <w:szCs w:val="20"/>
              </w:rPr>
              <w:fldChar w:fldCharType="separate"/>
            </w:r>
            <w:r w:rsidRPr="00735CE7">
              <w:rPr>
                <w:rFonts w:ascii="Algerian" w:hAnsi="Algerian"/>
                <w:b/>
                <w:bCs/>
                <w:noProof/>
                <w:sz w:val="18"/>
                <w:szCs w:val="18"/>
              </w:rPr>
              <w:t>2</w:t>
            </w:r>
            <w:r w:rsidRPr="00735CE7">
              <w:rPr>
                <w:rFonts w:ascii="Algerian" w:hAnsi="Algerian"/>
                <w:b/>
                <w:bCs/>
                <w:sz w:val="20"/>
                <w:szCs w:val="20"/>
              </w:rPr>
              <w:fldChar w:fldCharType="end"/>
            </w:r>
            <w:r w:rsidRPr="00735CE7">
              <w:rPr>
                <w:rFonts w:ascii="Algerian" w:hAnsi="Algerian"/>
                <w:sz w:val="18"/>
                <w:szCs w:val="18"/>
              </w:rPr>
              <w:t xml:space="preserve"> of </w:t>
            </w:r>
            <w:r w:rsidRPr="00735CE7">
              <w:rPr>
                <w:rFonts w:ascii="Algerian" w:hAnsi="Algerian"/>
                <w:b/>
                <w:bCs/>
                <w:sz w:val="20"/>
                <w:szCs w:val="20"/>
              </w:rPr>
              <w:fldChar w:fldCharType="begin"/>
            </w:r>
            <w:r w:rsidRPr="00735CE7">
              <w:rPr>
                <w:rFonts w:ascii="Algerian" w:hAnsi="Algerian"/>
                <w:b/>
                <w:bCs/>
                <w:sz w:val="18"/>
                <w:szCs w:val="18"/>
              </w:rPr>
              <w:instrText xml:space="preserve"> NUMPAGES  </w:instrText>
            </w:r>
            <w:r w:rsidRPr="00735CE7">
              <w:rPr>
                <w:rFonts w:ascii="Algerian" w:hAnsi="Algerian"/>
                <w:b/>
                <w:bCs/>
                <w:sz w:val="20"/>
                <w:szCs w:val="20"/>
              </w:rPr>
              <w:fldChar w:fldCharType="separate"/>
            </w:r>
            <w:r w:rsidRPr="00735CE7">
              <w:rPr>
                <w:rFonts w:ascii="Algerian" w:hAnsi="Algerian"/>
                <w:b/>
                <w:bCs/>
                <w:noProof/>
                <w:sz w:val="18"/>
                <w:szCs w:val="18"/>
              </w:rPr>
              <w:t>2</w:t>
            </w:r>
            <w:r w:rsidRPr="00735CE7">
              <w:rPr>
                <w:rFonts w:ascii="Algerian" w:hAnsi="Algerian"/>
                <w:b/>
                <w:bCs/>
                <w:sz w:val="20"/>
                <w:szCs w:val="20"/>
              </w:rPr>
              <w:fldChar w:fldCharType="end"/>
            </w:r>
          </w:p>
        </w:sdtContent>
      </w:sdt>
    </w:sdtContent>
  </w:sdt>
  <w:p w14:paraId="02C5C704" w14:textId="77777777" w:rsidR="005471A2" w:rsidRDefault="005471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EA99" w14:textId="77777777" w:rsidR="00DF5CD6" w:rsidRDefault="00DF5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13ACF" w14:textId="77777777" w:rsidR="00A21598" w:rsidRDefault="00A21598" w:rsidP="00D943E7">
      <w:pPr>
        <w:spacing w:after="0" w:line="240" w:lineRule="auto"/>
      </w:pPr>
      <w:r>
        <w:separator/>
      </w:r>
    </w:p>
  </w:footnote>
  <w:footnote w:type="continuationSeparator" w:id="0">
    <w:p w14:paraId="7627FE60" w14:textId="77777777" w:rsidR="00A21598" w:rsidRDefault="00A21598" w:rsidP="00D94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A9C3" w14:textId="5440828B" w:rsidR="00DF5CD6" w:rsidRDefault="00DF5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6659" w14:textId="49DCF91E" w:rsidR="00DF5CD6" w:rsidRDefault="00DF5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77C4" w14:textId="70825D41" w:rsidR="00DF5CD6" w:rsidRDefault="00DF5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522F7"/>
    <w:multiLevelType w:val="hybridMultilevel"/>
    <w:tmpl w:val="30745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43ED2"/>
    <w:multiLevelType w:val="multilevel"/>
    <w:tmpl w:val="6ABAE9D4"/>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C1631AF"/>
    <w:multiLevelType w:val="hybridMultilevel"/>
    <w:tmpl w:val="2ACC28E4"/>
    <w:lvl w:ilvl="0" w:tplc="04090009">
      <w:start w:val="1"/>
      <w:numFmt w:val="bullet"/>
      <w:lvlText w:val=""/>
      <w:lvlJc w:val="left"/>
      <w:pPr>
        <w:ind w:left="1080" w:hanging="72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20828E2"/>
    <w:multiLevelType w:val="hybridMultilevel"/>
    <w:tmpl w:val="E392112A"/>
    <w:lvl w:ilvl="0" w:tplc="04090001">
      <w:start w:val="1"/>
      <w:numFmt w:val="bullet"/>
      <w:lvlText w:val=""/>
      <w:lvlJc w:val="left"/>
      <w:pPr>
        <w:ind w:left="720" w:hanging="360"/>
      </w:pPr>
      <w:rPr>
        <w:rFonts w:ascii="Symbol" w:hAnsi="Symbol" w:hint="default"/>
      </w:rPr>
    </w:lvl>
    <w:lvl w:ilvl="1" w:tplc="E222BBD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2A58EC"/>
    <w:multiLevelType w:val="hybridMultilevel"/>
    <w:tmpl w:val="30404EB8"/>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15:restartNumberingAfterBreak="0">
    <w:nsid w:val="38F55540"/>
    <w:multiLevelType w:val="multilevel"/>
    <w:tmpl w:val="3B46704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C210716"/>
    <w:multiLevelType w:val="hybridMultilevel"/>
    <w:tmpl w:val="B1A0D55C"/>
    <w:lvl w:ilvl="0" w:tplc="BF663A68">
      <w:start w:val="1"/>
      <w:numFmt w:val="lowerRoman"/>
      <w:lvlText w:val="%1."/>
      <w:lvlJc w:val="left"/>
      <w:pPr>
        <w:ind w:left="1890" w:hanging="720"/>
      </w:pPr>
      <w:rPr>
        <w:rFonts w:hint="default"/>
        <w:b w:val="0"/>
        <w:b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402511F8"/>
    <w:multiLevelType w:val="hybridMultilevel"/>
    <w:tmpl w:val="E4647F74"/>
    <w:lvl w:ilvl="0" w:tplc="076E4F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44642E"/>
    <w:multiLevelType w:val="hybridMultilevel"/>
    <w:tmpl w:val="685ADD32"/>
    <w:lvl w:ilvl="0" w:tplc="63FC2B6C">
      <w:start w:val="1"/>
      <w:numFmt w:val="lowerLetter"/>
      <w:lvlText w:val="%1)"/>
      <w:lvlJc w:val="left"/>
      <w:pPr>
        <w:ind w:left="1170" w:hanging="360"/>
      </w:pPr>
      <w:rPr>
        <w:b w:val="0"/>
        <w:b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46C81A7C"/>
    <w:multiLevelType w:val="hybridMultilevel"/>
    <w:tmpl w:val="846EE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FB5864"/>
    <w:multiLevelType w:val="multilevel"/>
    <w:tmpl w:val="6ABAE9D4"/>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6FF77A9"/>
    <w:multiLevelType w:val="hybridMultilevel"/>
    <w:tmpl w:val="F19EE090"/>
    <w:lvl w:ilvl="0" w:tplc="04090009">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15:restartNumberingAfterBreak="0">
    <w:nsid w:val="4C47766D"/>
    <w:multiLevelType w:val="hybridMultilevel"/>
    <w:tmpl w:val="30D22EB4"/>
    <w:lvl w:ilvl="0" w:tplc="04090013">
      <w:start w:val="1"/>
      <w:numFmt w:val="upperRoman"/>
      <w:lvlText w:val="%1."/>
      <w:lvlJc w:val="right"/>
      <w:pPr>
        <w:ind w:left="1890" w:hanging="360"/>
      </w:p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13" w15:restartNumberingAfterBreak="0">
    <w:nsid w:val="4D916DC5"/>
    <w:multiLevelType w:val="hybridMultilevel"/>
    <w:tmpl w:val="C56408D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752A1749"/>
    <w:multiLevelType w:val="hybridMultilevel"/>
    <w:tmpl w:val="10E47716"/>
    <w:lvl w:ilvl="0" w:tplc="04090015">
      <w:start w:val="1"/>
      <w:numFmt w:val="upp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7BEB361C"/>
    <w:multiLevelType w:val="multilevel"/>
    <w:tmpl w:val="ACA47F4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CAD5F78"/>
    <w:multiLevelType w:val="hybridMultilevel"/>
    <w:tmpl w:val="B65ED83C"/>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144318966">
    <w:abstractNumId w:val="10"/>
  </w:num>
  <w:num w:numId="2" w16cid:durableId="1103260353">
    <w:abstractNumId w:val="5"/>
  </w:num>
  <w:num w:numId="3" w16cid:durableId="1568567426">
    <w:abstractNumId w:val="15"/>
  </w:num>
  <w:num w:numId="4" w16cid:durableId="212617702">
    <w:abstractNumId w:val="8"/>
  </w:num>
  <w:num w:numId="5" w16cid:durableId="1592810070">
    <w:abstractNumId w:val="6"/>
  </w:num>
  <w:num w:numId="6" w16cid:durableId="1410350503">
    <w:abstractNumId w:val="16"/>
  </w:num>
  <w:num w:numId="7" w16cid:durableId="332799761">
    <w:abstractNumId w:val="7"/>
  </w:num>
  <w:num w:numId="8" w16cid:durableId="1759793142">
    <w:abstractNumId w:val="11"/>
  </w:num>
  <w:num w:numId="9" w16cid:durableId="1165896410">
    <w:abstractNumId w:val="2"/>
  </w:num>
  <w:num w:numId="10" w16cid:durableId="776872109">
    <w:abstractNumId w:val="4"/>
  </w:num>
  <w:num w:numId="11" w16cid:durableId="632515457">
    <w:abstractNumId w:val="14"/>
  </w:num>
  <w:num w:numId="12" w16cid:durableId="919826297">
    <w:abstractNumId w:val="3"/>
  </w:num>
  <w:num w:numId="13" w16cid:durableId="365762476">
    <w:abstractNumId w:val="9"/>
  </w:num>
  <w:num w:numId="14" w16cid:durableId="1636716319">
    <w:abstractNumId w:val="0"/>
  </w:num>
  <w:num w:numId="15" w16cid:durableId="619655329">
    <w:abstractNumId w:val="13"/>
  </w:num>
  <w:num w:numId="16" w16cid:durableId="224223762">
    <w:abstractNumId w:val="12"/>
  </w:num>
  <w:num w:numId="17" w16cid:durableId="948269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296"/>
    <w:rsid w:val="00002B9B"/>
    <w:rsid w:val="00014605"/>
    <w:rsid w:val="00020BDF"/>
    <w:rsid w:val="00060316"/>
    <w:rsid w:val="000666F1"/>
    <w:rsid w:val="00186021"/>
    <w:rsid w:val="00190D2B"/>
    <w:rsid w:val="001B61A0"/>
    <w:rsid w:val="001C462D"/>
    <w:rsid w:val="001E14D9"/>
    <w:rsid w:val="001E320C"/>
    <w:rsid w:val="002223A8"/>
    <w:rsid w:val="00233AAB"/>
    <w:rsid w:val="00250F38"/>
    <w:rsid w:val="002D4BCA"/>
    <w:rsid w:val="00343F19"/>
    <w:rsid w:val="003517AC"/>
    <w:rsid w:val="00357E59"/>
    <w:rsid w:val="003C24CB"/>
    <w:rsid w:val="004001D9"/>
    <w:rsid w:val="00430838"/>
    <w:rsid w:val="00455DC4"/>
    <w:rsid w:val="00470940"/>
    <w:rsid w:val="004E0796"/>
    <w:rsid w:val="00527623"/>
    <w:rsid w:val="005471A2"/>
    <w:rsid w:val="00551EF2"/>
    <w:rsid w:val="00574D66"/>
    <w:rsid w:val="00593F95"/>
    <w:rsid w:val="005C2296"/>
    <w:rsid w:val="005E5827"/>
    <w:rsid w:val="006159D9"/>
    <w:rsid w:val="00625387"/>
    <w:rsid w:val="00680335"/>
    <w:rsid w:val="00735CE7"/>
    <w:rsid w:val="00737E19"/>
    <w:rsid w:val="00786E37"/>
    <w:rsid w:val="00792F3D"/>
    <w:rsid w:val="007A6665"/>
    <w:rsid w:val="007B7C9D"/>
    <w:rsid w:val="007C02F1"/>
    <w:rsid w:val="008432D4"/>
    <w:rsid w:val="008441FF"/>
    <w:rsid w:val="008779ED"/>
    <w:rsid w:val="008850FA"/>
    <w:rsid w:val="008B01DB"/>
    <w:rsid w:val="008C1D85"/>
    <w:rsid w:val="00940275"/>
    <w:rsid w:val="00970E3A"/>
    <w:rsid w:val="009B0387"/>
    <w:rsid w:val="009E2730"/>
    <w:rsid w:val="00A21598"/>
    <w:rsid w:val="00A47FC9"/>
    <w:rsid w:val="00A71D20"/>
    <w:rsid w:val="00AE020E"/>
    <w:rsid w:val="00B51083"/>
    <w:rsid w:val="00B71CC6"/>
    <w:rsid w:val="00B7475C"/>
    <w:rsid w:val="00BA1A62"/>
    <w:rsid w:val="00C00C34"/>
    <w:rsid w:val="00C36AA4"/>
    <w:rsid w:val="00C57D9A"/>
    <w:rsid w:val="00C60742"/>
    <w:rsid w:val="00C65745"/>
    <w:rsid w:val="00CB6E56"/>
    <w:rsid w:val="00D079BA"/>
    <w:rsid w:val="00D3256A"/>
    <w:rsid w:val="00D33E7B"/>
    <w:rsid w:val="00D3689F"/>
    <w:rsid w:val="00D77D57"/>
    <w:rsid w:val="00D943E7"/>
    <w:rsid w:val="00DF5CD6"/>
    <w:rsid w:val="00E27844"/>
    <w:rsid w:val="00E3165C"/>
    <w:rsid w:val="00E40DF4"/>
    <w:rsid w:val="00E416B1"/>
    <w:rsid w:val="00E47115"/>
    <w:rsid w:val="00E56375"/>
    <w:rsid w:val="00E83BB1"/>
    <w:rsid w:val="00EF0720"/>
    <w:rsid w:val="00F3193F"/>
    <w:rsid w:val="00F37AFE"/>
    <w:rsid w:val="00F703CA"/>
    <w:rsid w:val="00F70E41"/>
    <w:rsid w:val="00F73FD9"/>
    <w:rsid w:val="00F75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A973F"/>
  <w15:chartTrackingRefBased/>
  <w15:docId w15:val="{B4DF588A-ED5B-4CD3-BEC3-2666CF0D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FC9"/>
    <w:pPr>
      <w:ind w:left="720"/>
      <w:contextualSpacing/>
    </w:pPr>
  </w:style>
  <w:style w:type="table" w:styleId="TableGrid">
    <w:name w:val="Table Grid"/>
    <w:basedOn w:val="TableNormal"/>
    <w:uiPriority w:val="39"/>
    <w:rsid w:val="001E3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320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94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3E7"/>
  </w:style>
  <w:style w:type="paragraph" w:styleId="Footer">
    <w:name w:val="footer"/>
    <w:basedOn w:val="Normal"/>
    <w:link w:val="FooterChar"/>
    <w:uiPriority w:val="99"/>
    <w:unhideWhenUsed/>
    <w:rsid w:val="00D94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3E7"/>
  </w:style>
  <w:style w:type="paragraph" w:styleId="NoSpacing">
    <w:name w:val="No Spacing"/>
    <w:link w:val="NoSpacingChar"/>
    <w:uiPriority w:val="1"/>
    <w:qFormat/>
    <w:rsid w:val="00D943E7"/>
    <w:pPr>
      <w:spacing w:after="0" w:line="240" w:lineRule="auto"/>
    </w:pPr>
    <w:rPr>
      <w:rFonts w:eastAsiaTheme="minorEastAsia"/>
    </w:rPr>
  </w:style>
  <w:style w:type="character" w:customStyle="1" w:styleId="NoSpacingChar">
    <w:name w:val="No Spacing Char"/>
    <w:basedOn w:val="DefaultParagraphFont"/>
    <w:link w:val="NoSpacing"/>
    <w:uiPriority w:val="1"/>
    <w:rsid w:val="00D943E7"/>
    <w:rPr>
      <w:rFonts w:eastAsiaTheme="minorEastAsia"/>
    </w:rPr>
  </w:style>
  <w:style w:type="character" w:styleId="Hyperlink">
    <w:name w:val="Hyperlink"/>
    <w:basedOn w:val="DefaultParagraphFont"/>
    <w:uiPriority w:val="99"/>
    <w:unhideWhenUsed/>
    <w:rsid w:val="00357E59"/>
    <w:rPr>
      <w:color w:val="0563C1" w:themeColor="hyperlink"/>
      <w:u w:val="single"/>
    </w:rPr>
  </w:style>
  <w:style w:type="character" w:styleId="UnresolvedMention">
    <w:name w:val="Unresolved Mention"/>
    <w:basedOn w:val="DefaultParagraphFont"/>
    <w:uiPriority w:val="99"/>
    <w:semiHidden/>
    <w:unhideWhenUsed/>
    <w:rsid w:val="00357E59"/>
    <w:rPr>
      <w:color w:val="605E5C"/>
      <w:shd w:val="clear" w:color="auto" w:fill="E1DFDD"/>
    </w:rPr>
  </w:style>
  <w:style w:type="character" w:styleId="FollowedHyperlink">
    <w:name w:val="FollowedHyperlink"/>
    <w:basedOn w:val="DefaultParagraphFont"/>
    <w:uiPriority w:val="99"/>
    <w:semiHidden/>
    <w:unhideWhenUsed/>
    <w:rsid w:val="00357E59"/>
    <w:rPr>
      <w:color w:val="954F72" w:themeColor="followedHyperlink"/>
      <w:u w:val="single"/>
    </w:rPr>
  </w:style>
  <w:style w:type="paragraph" w:styleId="Revision">
    <w:name w:val="Revision"/>
    <w:hidden/>
    <w:uiPriority w:val="99"/>
    <w:semiHidden/>
    <w:rsid w:val="00D079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RPT%20-%20Revised%20Policy.pptx"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1223D31AAB4202ACECEE988A093577"/>
        <w:category>
          <w:name w:val="General"/>
          <w:gallery w:val="placeholder"/>
        </w:category>
        <w:types>
          <w:type w:val="bbPlcHdr"/>
        </w:types>
        <w:behaviors>
          <w:behavior w:val="content"/>
        </w:behaviors>
        <w:guid w:val="{A4650E16-92C1-4E23-90DE-CAF9F6839E9A}"/>
      </w:docPartPr>
      <w:docPartBody>
        <w:p w:rsidR="00B150F7" w:rsidRDefault="00A13FFC" w:rsidP="00A13FFC">
          <w:pPr>
            <w:pStyle w:val="E71223D31AAB4202ACECEE988A093577"/>
          </w:pPr>
          <w:r>
            <w:rPr>
              <w:rFonts w:asciiTheme="majorHAnsi" w:eastAsiaTheme="majorEastAsia" w:hAnsiTheme="majorHAnsi" w:cstheme="majorBidi"/>
              <w:caps/>
              <w:color w:val="4472C4" w:themeColor="accent1"/>
              <w:sz w:val="80"/>
              <w:szCs w:val="80"/>
            </w:rPr>
            <w:t>[Document title]</w:t>
          </w:r>
        </w:p>
      </w:docPartBody>
    </w:docPart>
    <w:docPart>
      <w:docPartPr>
        <w:name w:val="B31BF84920DF4839BFF1807C49B766CA"/>
        <w:category>
          <w:name w:val="General"/>
          <w:gallery w:val="placeholder"/>
        </w:category>
        <w:types>
          <w:type w:val="bbPlcHdr"/>
        </w:types>
        <w:behaviors>
          <w:behavior w:val="content"/>
        </w:behaviors>
        <w:guid w:val="{BAC956CD-038F-431C-848A-ABD792D2DCA7}"/>
      </w:docPartPr>
      <w:docPartBody>
        <w:p w:rsidR="00B150F7" w:rsidRDefault="00A13FFC" w:rsidP="00A13FFC">
          <w:pPr>
            <w:pStyle w:val="B31BF84920DF4839BFF1807C49B766CA"/>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FFC"/>
    <w:rsid w:val="00014605"/>
    <w:rsid w:val="001B61A0"/>
    <w:rsid w:val="001C5DD0"/>
    <w:rsid w:val="003517AC"/>
    <w:rsid w:val="004001D9"/>
    <w:rsid w:val="00493A56"/>
    <w:rsid w:val="0058303C"/>
    <w:rsid w:val="006F2B7A"/>
    <w:rsid w:val="007A32A0"/>
    <w:rsid w:val="008432D4"/>
    <w:rsid w:val="008F3B53"/>
    <w:rsid w:val="00970E3A"/>
    <w:rsid w:val="00A13FFC"/>
    <w:rsid w:val="00B150F7"/>
    <w:rsid w:val="00D3256A"/>
    <w:rsid w:val="00E53B97"/>
    <w:rsid w:val="00E62A52"/>
    <w:rsid w:val="00F37AFE"/>
    <w:rsid w:val="00F96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1223D31AAB4202ACECEE988A093577">
    <w:name w:val="E71223D31AAB4202ACECEE988A093577"/>
    <w:rsid w:val="00A13FFC"/>
  </w:style>
  <w:style w:type="paragraph" w:customStyle="1" w:styleId="B31BF84920DF4839BFF1807C49B766CA">
    <w:name w:val="B31BF84920DF4839BFF1807C49B766CA"/>
    <w:rsid w:val="00A13F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2023-01-24T00:00:00</PublishDate>
  <Abstract/>
  <CompanyAddress>Regd. Off: D- 188, Okhla Industrial Area, Phase I, New Delhi -110020CIN: L74899DL1986PLC023202</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5</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POLICY ON MATERIALITY OF RELATED PARTY TRANSACTIONS AND ON DEALING WITH RELATED PARTY TRANSACTIONS (RPT POLICY)</vt:lpstr>
    </vt:vector>
  </TitlesOfParts>
  <Company>SHARDA MOTOR INDUSTRIES LIMITED</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ON MATERIALITY OF RELATED PARTY TRANSACTIONS AND ON DEALING WITH RELATED PARTY TRANSACTIONS                 (RPT POLICY)</dc:title>
  <dc:subject>Evolution History</dc:subject>
  <dc:creator>Iti Goyal</dc:creator>
  <cp:keywords/>
  <dc:description/>
  <cp:lastModifiedBy>Iti Goyal</cp:lastModifiedBy>
  <cp:revision>53</cp:revision>
  <dcterms:created xsi:type="dcterms:W3CDTF">2023-01-09T10:01:00Z</dcterms:created>
  <dcterms:modified xsi:type="dcterms:W3CDTF">2026-03-10T06:09:00Z</dcterms:modified>
</cp:coreProperties>
</file>