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0F5D" w14:textId="77777777" w:rsidR="00EE0D25" w:rsidRPr="00E97F7C" w:rsidRDefault="00EE0D25" w:rsidP="00EE0D25">
      <w:pPr>
        <w:spacing w:after="0" w:line="259" w:lineRule="auto"/>
        <w:ind w:left="78" w:firstLine="0"/>
        <w:jc w:val="center"/>
      </w:pPr>
    </w:p>
    <w:p w14:paraId="15AA30A3" w14:textId="77777777" w:rsidR="00EE0D25" w:rsidRPr="00E97F7C" w:rsidRDefault="00EE0D25" w:rsidP="00EE0D25">
      <w:pPr>
        <w:spacing w:after="0" w:line="259" w:lineRule="auto"/>
        <w:ind w:left="78" w:firstLine="0"/>
        <w:jc w:val="center"/>
      </w:pPr>
      <w:r w:rsidRPr="00E97F7C">
        <w:rPr>
          <w:b/>
          <w:sz w:val="32"/>
        </w:rPr>
        <w:t xml:space="preserve"> </w:t>
      </w:r>
    </w:p>
    <w:p w14:paraId="3D18AC7D" w14:textId="77777777" w:rsidR="00EE0D25" w:rsidRPr="00E97F7C" w:rsidRDefault="00EE0D25" w:rsidP="00EE0D25">
      <w:pPr>
        <w:spacing w:after="0" w:line="259" w:lineRule="auto"/>
        <w:ind w:left="78" w:firstLine="0"/>
        <w:jc w:val="center"/>
      </w:pPr>
      <w:r w:rsidRPr="00E97F7C">
        <w:rPr>
          <w:b/>
          <w:sz w:val="32"/>
        </w:rPr>
        <w:t xml:space="preserve"> </w:t>
      </w:r>
    </w:p>
    <w:p w14:paraId="769E17FD" w14:textId="77777777" w:rsidR="00EE0D25" w:rsidRPr="00E97F7C" w:rsidRDefault="00EE0D25" w:rsidP="00EE0D25">
      <w:pPr>
        <w:spacing w:after="0" w:line="259" w:lineRule="auto"/>
        <w:ind w:left="78" w:firstLine="0"/>
        <w:jc w:val="center"/>
      </w:pPr>
      <w:r w:rsidRPr="00E97F7C">
        <w:rPr>
          <w:b/>
          <w:sz w:val="32"/>
        </w:rPr>
        <w:t xml:space="preserve"> </w:t>
      </w:r>
    </w:p>
    <w:p w14:paraId="2A0B4A49" w14:textId="77777777" w:rsidR="00EE0D25" w:rsidRPr="00E97F7C" w:rsidRDefault="00EE0D25" w:rsidP="00EE0D25">
      <w:pPr>
        <w:spacing w:after="0" w:line="259" w:lineRule="auto"/>
        <w:ind w:left="78" w:firstLine="0"/>
        <w:jc w:val="center"/>
      </w:pPr>
      <w:r w:rsidRPr="00E97F7C">
        <w:rPr>
          <w:b/>
          <w:sz w:val="32"/>
        </w:rPr>
        <w:t xml:space="preserve"> </w:t>
      </w:r>
    </w:p>
    <w:p w14:paraId="0E2D9249" w14:textId="77777777" w:rsidR="00EE0D25" w:rsidRPr="00E97F7C" w:rsidRDefault="00EE0D25" w:rsidP="00EE0D25">
      <w:pPr>
        <w:spacing w:after="0" w:line="259" w:lineRule="auto"/>
        <w:ind w:left="78" w:firstLine="0"/>
        <w:jc w:val="center"/>
      </w:pPr>
      <w:r w:rsidRPr="00E97F7C">
        <w:rPr>
          <w:b/>
          <w:sz w:val="32"/>
        </w:rPr>
        <w:t xml:space="preserve"> </w:t>
      </w:r>
    </w:p>
    <w:p w14:paraId="0551C41A" w14:textId="77777777" w:rsidR="00EE0D25" w:rsidRPr="00E97F7C" w:rsidRDefault="00EE0D25" w:rsidP="00EE0D25">
      <w:pPr>
        <w:spacing w:after="0" w:line="259" w:lineRule="auto"/>
        <w:ind w:left="78" w:firstLine="0"/>
        <w:jc w:val="center"/>
      </w:pPr>
      <w:r w:rsidRPr="00E97F7C">
        <w:rPr>
          <w:b/>
          <w:sz w:val="32"/>
        </w:rPr>
        <w:t xml:space="preserve"> </w:t>
      </w:r>
    </w:p>
    <w:p w14:paraId="2CDCDB29" w14:textId="77777777" w:rsidR="00EE0D25" w:rsidRPr="00E97F7C" w:rsidRDefault="00EE0D25" w:rsidP="00EE0D25">
      <w:pPr>
        <w:spacing w:after="0" w:line="259" w:lineRule="auto"/>
        <w:ind w:left="107" w:firstLine="0"/>
        <w:jc w:val="center"/>
      </w:pPr>
      <w:r w:rsidRPr="00E97F7C">
        <w:rPr>
          <w:noProof/>
        </w:rPr>
        <w:drawing>
          <wp:inline distT="0" distB="0" distL="0" distR="0" wp14:anchorId="4B693B50" wp14:editId="1F1540F5">
            <wp:extent cx="850392" cy="576072"/>
            <wp:effectExtent l="0" t="0" r="0" b="0"/>
            <wp:docPr id="3008" name="Picture 3008" descr="A blue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3008" name="Picture 3008" descr="A blue and grey logo&#10;&#10;AI-generated content may be incorrect."/>
                    <pic:cNvPicPr/>
                  </pic:nvPicPr>
                  <pic:blipFill>
                    <a:blip r:embed="rId5"/>
                    <a:stretch>
                      <a:fillRect/>
                    </a:stretch>
                  </pic:blipFill>
                  <pic:spPr>
                    <a:xfrm>
                      <a:off x="0" y="0"/>
                      <a:ext cx="850392" cy="576072"/>
                    </a:xfrm>
                    <a:prstGeom prst="rect">
                      <a:avLst/>
                    </a:prstGeom>
                  </pic:spPr>
                </pic:pic>
              </a:graphicData>
            </a:graphic>
          </wp:inline>
        </w:drawing>
      </w:r>
      <w:r w:rsidRPr="00E97F7C">
        <w:rPr>
          <w:b/>
          <w:sz w:val="32"/>
        </w:rPr>
        <w:t xml:space="preserve"> </w:t>
      </w:r>
    </w:p>
    <w:p w14:paraId="2FD072D6" w14:textId="77777777" w:rsidR="00EE0D25" w:rsidRPr="00E97F7C" w:rsidRDefault="00EE0D25" w:rsidP="00EE0D25">
      <w:pPr>
        <w:spacing w:after="276" w:line="259" w:lineRule="auto"/>
        <w:ind w:left="58" w:firstLine="0"/>
        <w:jc w:val="center"/>
      </w:pPr>
      <w:r w:rsidRPr="00E97F7C">
        <w:rPr>
          <w:b/>
        </w:rPr>
        <w:t xml:space="preserve"> </w:t>
      </w:r>
    </w:p>
    <w:p w14:paraId="6AD24565" w14:textId="77777777" w:rsidR="00EE0D25" w:rsidRPr="00E97F7C" w:rsidRDefault="00EE0D25" w:rsidP="00EE0D25">
      <w:pPr>
        <w:spacing w:after="0" w:line="237" w:lineRule="auto"/>
        <w:ind w:left="0" w:firstLine="0"/>
        <w:jc w:val="center"/>
      </w:pPr>
      <w:r w:rsidRPr="00E97F7C">
        <w:rPr>
          <w:b/>
          <w:sz w:val="56"/>
        </w:rPr>
        <w:t xml:space="preserve">SHARDA MOTOR INDUSTRIES LIMITED </w:t>
      </w:r>
    </w:p>
    <w:p w14:paraId="1FBD22BD" w14:textId="77777777" w:rsidR="00EE0D25" w:rsidRPr="00E97F7C" w:rsidRDefault="00EE0D25" w:rsidP="00EE0D25">
      <w:pPr>
        <w:spacing w:after="82" w:line="259" w:lineRule="auto"/>
        <w:ind w:left="0" w:firstLine="0"/>
        <w:jc w:val="left"/>
      </w:pPr>
      <w:r w:rsidRPr="00E97F7C">
        <w:rPr>
          <w:b/>
          <w:sz w:val="32"/>
        </w:rPr>
        <w:t xml:space="preserve"> </w:t>
      </w:r>
    </w:p>
    <w:p w14:paraId="35EA67A1" w14:textId="77777777" w:rsidR="00EE0D25" w:rsidRPr="00E97F7C" w:rsidRDefault="00EE0D25" w:rsidP="00EE0D25">
      <w:pPr>
        <w:spacing w:after="0" w:line="259" w:lineRule="auto"/>
        <w:ind w:left="0" w:right="5" w:firstLine="0"/>
        <w:jc w:val="center"/>
      </w:pPr>
      <w:r w:rsidRPr="00E97F7C">
        <w:rPr>
          <w:b/>
          <w:sz w:val="44"/>
        </w:rPr>
        <w:t xml:space="preserve">HUMAN RIGHTS POLICY </w:t>
      </w:r>
    </w:p>
    <w:p w14:paraId="21E925C2" w14:textId="166B8586" w:rsidR="006A098D" w:rsidRPr="00E97F7C" w:rsidRDefault="00EE0D25" w:rsidP="00EE0D25">
      <w:pPr>
        <w:spacing w:after="0" w:line="259" w:lineRule="auto"/>
        <w:ind w:left="0" w:firstLine="0"/>
        <w:jc w:val="left"/>
      </w:pPr>
      <w:r w:rsidRPr="00E97F7C">
        <w:rPr>
          <w:b/>
          <w:i/>
          <w:sz w:val="36"/>
        </w:rPr>
        <w:t xml:space="preserve"> </w:t>
      </w:r>
      <w:r w:rsidR="006A098D" w:rsidRPr="00E97F7C">
        <w:rPr>
          <w:b/>
          <w:sz w:val="36"/>
        </w:rPr>
        <w:t xml:space="preserve"> </w:t>
      </w:r>
    </w:p>
    <w:p w14:paraId="0A56A528" w14:textId="5C32E9BB" w:rsidR="006A098D" w:rsidRPr="00E97F7C" w:rsidRDefault="006A098D" w:rsidP="006A098D">
      <w:pPr>
        <w:spacing w:after="214" w:line="259" w:lineRule="auto"/>
        <w:ind w:left="0" w:firstLine="0"/>
        <w:jc w:val="left"/>
      </w:pPr>
    </w:p>
    <w:tbl>
      <w:tblPr>
        <w:tblStyle w:val="TableGrid"/>
        <w:tblW w:w="9289" w:type="dxa"/>
        <w:tblInd w:w="-107" w:type="dxa"/>
        <w:tblCellMar>
          <w:top w:w="52" w:type="dxa"/>
          <w:left w:w="107" w:type="dxa"/>
          <w:right w:w="115" w:type="dxa"/>
        </w:tblCellMar>
        <w:tblLook w:val="04A0" w:firstRow="1" w:lastRow="0" w:firstColumn="1" w:lastColumn="0" w:noHBand="0" w:noVBand="1"/>
      </w:tblPr>
      <w:tblGrid>
        <w:gridCol w:w="4066"/>
        <w:gridCol w:w="5223"/>
      </w:tblGrid>
      <w:tr w:rsidR="006A098D" w:rsidRPr="00E97F7C" w14:paraId="0127D547" w14:textId="77777777" w:rsidTr="0063075C">
        <w:trPr>
          <w:trHeight w:val="288"/>
        </w:trPr>
        <w:tc>
          <w:tcPr>
            <w:tcW w:w="4066" w:type="dxa"/>
            <w:tcBorders>
              <w:top w:val="single" w:sz="4" w:space="0" w:color="000000"/>
              <w:left w:val="single" w:sz="4" w:space="0" w:color="000000"/>
              <w:bottom w:val="single" w:sz="4" w:space="0" w:color="000000"/>
              <w:right w:val="single" w:sz="4" w:space="0" w:color="000000"/>
            </w:tcBorders>
            <w:shd w:val="clear" w:color="auto" w:fill="D9D9D9"/>
          </w:tcPr>
          <w:p w14:paraId="0AF6E740" w14:textId="77777777" w:rsidR="006A098D" w:rsidRPr="00E97F7C" w:rsidRDefault="006A098D" w:rsidP="00120F2D">
            <w:pPr>
              <w:spacing w:after="0" w:line="259" w:lineRule="auto"/>
              <w:ind w:left="0" w:firstLine="0"/>
              <w:jc w:val="left"/>
            </w:pPr>
            <w:r w:rsidRPr="00E97F7C">
              <w:rPr>
                <w:b/>
              </w:rPr>
              <w:t xml:space="preserve">Date of First Approval </w:t>
            </w:r>
          </w:p>
        </w:tc>
        <w:tc>
          <w:tcPr>
            <w:tcW w:w="5223" w:type="dxa"/>
            <w:tcBorders>
              <w:top w:val="single" w:sz="4" w:space="0" w:color="000000"/>
              <w:left w:val="single" w:sz="4" w:space="0" w:color="000000"/>
              <w:bottom w:val="single" w:sz="4" w:space="0" w:color="000000"/>
              <w:right w:val="single" w:sz="4" w:space="0" w:color="000000"/>
            </w:tcBorders>
          </w:tcPr>
          <w:p w14:paraId="3D124683" w14:textId="13BF35BC" w:rsidR="006A098D" w:rsidRPr="00E97F7C" w:rsidRDefault="003042BE" w:rsidP="00120F2D">
            <w:pPr>
              <w:spacing w:after="0" w:line="259" w:lineRule="auto"/>
              <w:ind w:left="0" w:firstLine="0"/>
              <w:jc w:val="left"/>
            </w:pPr>
            <w:r w:rsidRPr="003042BE">
              <w:t>05</w:t>
            </w:r>
            <w:r w:rsidRPr="003042BE">
              <w:rPr>
                <w:vertAlign w:val="superscript"/>
              </w:rPr>
              <w:t>th</w:t>
            </w:r>
            <w:r w:rsidRPr="003042BE">
              <w:t xml:space="preserve"> February, 2016</w:t>
            </w:r>
          </w:p>
        </w:tc>
      </w:tr>
      <w:tr w:rsidR="006A098D" w:rsidRPr="00E97F7C" w14:paraId="20CC7FBF" w14:textId="77777777" w:rsidTr="0063075C">
        <w:trPr>
          <w:trHeight w:val="283"/>
        </w:trPr>
        <w:tc>
          <w:tcPr>
            <w:tcW w:w="4066" w:type="dxa"/>
            <w:tcBorders>
              <w:top w:val="single" w:sz="4" w:space="0" w:color="000000"/>
              <w:left w:val="single" w:sz="4" w:space="0" w:color="000000"/>
              <w:bottom w:val="single" w:sz="4" w:space="0" w:color="000000"/>
              <w:right w:val="single" w:sz="4" w:space="0" w:color="000000"/>
            </w:tcBorders>
            <w:shd w:val="clear" w:color="auto" w:fill="D9D9D9"/>
          </w:tcPr>
          <w:p w14:paraId="702DB56B" w14:textId="77777777" w:rsidR="006A098D" w:rsidRPr="00E97F7C" w:rsidRDefault="006A098D" w:rsidP="00120F2D">
            <w:pPr>
              <w:spacing w:after="0" w:line="259" w:lineRule="auto"/>
              <w:ind w:left="0" w:firstLine="0"/>
              <w:jc w:val="left"/>
            </w:pPr>
            <w:r w:rsidRPr="00E97F7C">
              <w:rPr>
                <w:b/>
              </w:rPr>
              <w:t xml:space="preserve">Last Amended on </w:t>
            </w:r>
          </w:p>
        </w:tc>
        <w:tc>
          <w:tcPr>
            <w:tcW w:w="5223" w:type="dxa"/>
            <w:tcBorders>
              <w:top w:val="single" w:sz="4" w:space="0" w:color="000000"/>
              <w:left w:val="single" w:sz="4" w:space="0" w:color="000000"/>
              <w:bottom w:val="single" w:sz="4" w:space="0" w:color="000000"/>
              <w:right w:val="single" w:sz="4" w:space="0" w:color="000000"/>
            </w:tcBorders>
          </w:tcPr>
          <w:p w14:paraId="2495C5A8" w14:textId="3CFCC596" w:rsidR="006A098D" w:rsidRPr="00E97F7C" w:rsidRDefault="003042BE" w:rsidP="00120F2D">
            <w:pPr>
              <w:spacing w:after="0" w:line="259" w:lineRule="auto"/>
              <w:ind w:left="0" w:firstLine="0"/>
              <w:jc w:val="left"/>
            </w:pPr>
            <w:r w:rsidRPr="003042BE">
              <w:t>05</w:t>
            </w:r>
            <w:r w:rsidRPr="003042BE">
              <w:rPr>
                <w:vertAlign w:val="superscript"/>
              </w:rPr>
              <w:t>th</w:t>
            </w:r>
            <w:r w:rsidRPr="003042BE">
              <w:t xml:space="preserve"> February, 2016</w:t>
            </w:r>
          </w:p>
        </w:tc>
      </w:tr>
      <w:tr w:rsidR="006A098D" w:rsidRPr="00E97F7C" w14:paraId="4BA289AA" w14:textId="77777777" w:rsidTr="0063075C">
        <w:trPr>
          <w:trHeight w:val="288"/>
        </w:trPr>
        <w:tc>
          <w:tcPr>
            <w:tcW w:w="4066" w:type="dxa"/>
            <w:tcBorders>
              <w:top w:val="single" w:sz="4" w:space="0" w:color="000000"/>
              <w:left w:val="single" w:sz="4" w:space="0" w:color="000000"/>
              <w:bottom w:val="single" w:sz="4" w:space="0" w:color="000000"/>
              <w:right w:val="single" w:sz="4" w:space="0" w:color="000000"/>
            </w:tcBorders>
            <w:shd w:val="clear" w:color="auto" w:fill="D9D9D9"/>
          </w:tcPr>
          <w:p w14:paraId="604D8153" w14:textId="77777777" w:rsidR="006A098D" w:rsidRPr="00E97F7C" w:rsidRDefault="006A098D" w:rsidP="00120F2D">
            <w:pPr>
              <w:spacing w:after="0" w:line="259" w:lineRule="auto"/>
              <w:ind w:left="0" w:firstLine="0"/>
              <w:jc w:val="left"/>
            </w:pPr>
            <w:r w:rsidRPr="00E97F7C">
              <w:rPr>
                <w:b/>
              </w:rPr>
              <w:t xml:space="preserve">Last Version </w:t>
            </w:r>
          </w:p>
        </w:tc>
        <w:tc>
          <w:tcPr>
            <w:tcW w:w="5223" w:type="dxa"/>
            <w:tcBorders>
              <w:top w:val="single" w:sz="4" w:space="0" w:color="000000"/>
              <w:left w:val="single" w:sz="4" w:space="0" w:color="000000"/>
              <w:bottom w:val="single" w:sz="4" w:space="0" w:color="000000"/>
              <w:right w:val="single" w:sz="4" w:space="0" w:color="000000"/>
            </w:tcBorders>
          </w:tcPr>
          <w:p w14:paraId="18673D2C" w14:textId="630544F2" w:rsidR="006A098D" w:rsidRPr="00E97F7C" w:rsidRDefault="00EE0D25" w:rsidP="00120F2D">
            <w:pPr>
              <w:spacing w:after="0" w:line="259" w:lineRule="auto"/>
              <w:ind w:left="0" w:firstLine="0"/>
              <w:jc w:val="left"/>
            </w:pPr>
            <w:r>
              <w:t>1.0</w:t>
            </w:r>
          </w:p>
        </w:tc>
      </w:tr>
      <w:tr w:rsidR="006A098D" w:rsidRPr="00E97F7C" w14:paraId="65F45B49" w14:textId="77777777" w:rsidTr="0063075C">
        <w:trPr>
          <w:trHeight w:val="283"/>
        </w:trPr>
        <w:tc>
          <w:tcPr>
            <w:tcW w:w="4066" w:type="dxa"/>
            <w:tcBorders>
              <w:top w:val="single" w:sz="4" w:space="0" w:color="000000"/>
              <w:left w:val="single" w:sz="4" w:space="0" w:color="000000"/>
              <w:bottom w:val="single" w:sz="4" w:space="0" w:color="000000"/>
              <w:right w:val="single" w:sz="4" w:space="0" w:color="000000"/>
            </w:tcBorders>
            <w:shd w:val="clear" w:color="auto" w:fill="D9D9D9"/>
          </w:tcPr>
          <w:p w14:paraId="35881FF1" w14:textId="77777777" w:rsidR="006A098D" w:rsidRPr="00E97F7C" w:rsidRDefault="006A098D" w:rsidP="00120F2D">
            <w:pPr>
              <w:spacing w:after="0" w:line="259" w:lineRule="auto"/>
              <w:ind w:left="0" w:firstLine="0"/>
              <w:jc w:val="left"/>
            </w:pPr>
            <w:r w:rsidRPr="00E97F7C">
              <w:rPr>
                <w:b/>
              </w:rPr>
              <w:t xml:space="preserve">Current Version </w:t>
            </w:r>
          </w:p>
        </w:tc>
        <w:tc>
          <w:tcPr>
            <w:tcW w:w="5223" w:type="dxa"/>
            <w:tcBorders>
              <w:top w:val="single" w:sz="4" w:space="0" w:color="000000"/>
              <w:left w:val="single" w:sz="4" w:space="0" w:color="000000"/>
              <w:bottom w:val="single" w:sz="4" w:space="0" w:color="000000"/>
              <w:right w:val="single" w:sz="4" w:space="0" w:color="000000"/>
            </w:tcBorders>
          </w:tcPr>
          <w:p w14:paraId="423E2A95" w14:textId="70DE2BCC" w:rsidR="006A098D" w:rsidRPr="00E97F7C" w:rsidRDefault="00EE0D25" w:rsidP="00120F2D">
            <w:pPr>
              <w:spacing w:after="0" w:line="259" w:lineRule="auto"/>
              <w:ind w:left="0" w:firstLine="0"/>
              <w:jc w:val="left"/>
            </w:pPr>
            <w:r>
              <w:t>2.0</w:t>
            </w:r>
          </w:p>
        </w:tc>
      </w:tr>
      <w:tr w:rsidR="006A098D" w:rsidRPr="00E97F7C" w14:paraId="55244CD5" w14:textId="77777777" w:rsidTr="0063075C">
        <w:trPr>
          <w:trHeight w:val="1112"/>
        </w:trPr>
        <w:tc>
          <w:tcPr>
            <w:tcW w:w="4066" w:type="dxa"/>
            <w:tcBorders>
              <w:top w:val="single" w:sz="4" w:space="0" w:color="000000"/>
              <w:left w:val="single" w:sz="4" w:space="0" w:color="000000"/>
              <w:bottom w:val="single" w:sz="4" w:space="0" w:color="000000"/>
              <w:right w:val="single" w:sz="4" w:space="0" w:color="000000"/>
            </w:tcBorders>
            <w:shd w:val="clear" w:color="auto" w:fill="D9D9D9"/>
          </w:tcPr>
          <w:p w14:paraId="6A5EF275" w14:textId="77777777" w:rsidR="006A098D" w:rsidRPr="00E97F7C" w:rsidRDefault="006A098D" w:rsidP="00120F2D">
            <w:pPr>
              <w:spacing w:after="0" w:line="259" w:lineRule="auto"/>
              <w:ind w:left="0" w:firstLine="0"/>
              <w:jc w:val="left"/>
            </w:pPr>
            <w:r w:rsidRPr="00E97F7C">
              <w:rPr>
                <w:b/>
              </w:rPr>
              <w:t xml:space="preserve">Approved by the Board of Directors </w:t>
            </w:r>
          </w:p>
        </w:tc>
        <w:tc>
          <w:tcPr>
            <w:tcW w:w="5223" w:type="dxa"/>
            <w:tcBorders>
              <w:top w:val="single" w:sz="4" w:space="0" w:color="000000"/>
              <w:left w:val="single" w:sz="4" w:space="0" w:color="000000"/>
              <w:bottom w:val="single" w:sz="4" w:space="0" w:color="000000"/>
              <w:right w:val="single" w:sz="4" w:space="0" w:color="000000"/>
            </w:tcBorders>
          </w:tcPr>
          <w:p w14:paraId="4B884E53" w14:textId="6BC2640B" w:rsidR="006A098D" w:rsidRPr="00E97F7C" w:rsidRDefault="006A098D" w:rsidP="00120F2D">
            <w:pPr>
              <w:spacing w:after="0" w:line="259" w:lineRule="auto"/>
              <w:ind w:left="0" w:firstLine="0"/>
              <w:jc w:val="left"/>
            </w:pPr>
            <w:r w:rsidRPr="00E97F7C">
              <w:t xml:space="preserve"> </w:t>
            </w:r>
            <w:r w:rsidR="00EE0D25" w:rsidRPr="00E97F7C">
              <w:rPr>
                <w:b/>
                <w:sz w:val="22"/>
              </w:rPr>
              <w:t>6</w:t>
            </w:r>
            <w:r w:rsidR="00EE0D25" w:rsidRPr="00E97F7C">
              <w:rPr>
                <w:b/>
                <w:sz w:val="22"/>
                <w:vertAlign w:val="superscript"/>
              </w:rPr>
              <w:t>th</w:t>
            </w:r>
            <w:r w:rsidR="00EE0D25" w:rsidRPr="00E97F7C">
              <w:rPr>
                <w:b/>
                <w:sz w:val="22"/>
              </w:rPr>
              <w:t xml:space="preserve"> February, 2026</w:t>
            </w:r>
          </w:p>
          <w:p w14:paraId="47319B6C" w14:textId="77777777" w:rsidR="006A098D" w:rsidRPr="00E97F7C" w:rsidRDefault="006A098D" w:rsidP="00120F2D">
            <w:pPr>
              <w:spacing w:after="0" w:line="259" w:lineRule="auto"/>
              <w:ind w:left="0" w:firstLine="0"/>
              <w:jc w:val="left"/>
            </w:pPr>
            <w:r w:rsidRPr="00E97F7C">
              <w:t xml:space="preserve"> </w:t>
            </w:r>
          </w:p>
        </w:tc>
      </w:tr>
    </w:tbl>
    <w:p w14:paraId="0CA1D49D" w14:textId="2CBEA501" w:rsidR="00263E65" w:rsidRPr="00E97F7C" w:rsidRDefault="00263E65" w:rsidP="006A098D">
      <w:pPr>
        <w:spacing w:after="952" w:line="1006" w:lineRule="auto"/>
        <w:ind w:left="10" w:right="164"/>
        <w:jc w:val="center"/>
      </w:pPr>
    </w:p>
    <w:p w14:paraId="1082CFC1" w14:textId="77777777" w:rsidR="006A098D" w:rsidRPr="00E97F7C" w:rsidRDefault="006A098D">
      <w:pPr>
        <w:spacing w:after="160" w:line="278" w:lineRule="auto"/>
        <w:ind w:left="0" w:right="0" w:firstLine="0"/>
        <w:jc w:val="left"/>
        <w:rPr>
          <w:b/>
          <w:u w:val="single" w:color="000000"/>
        </w:rPr>
      </w:pPr>
      <w:r w:rsidRPr="00E97F7C">
        <w:rPr>
          <w:b/>
          <w:u w:val="single" w:color="000000"/>
        </w:rPr>
        <w:br w:type="page"/>
      </w:r>
    </w:p>
    <w:p w14:paraId="3766360B" w14:textId="086F5070" w:rsidR="00263E65" w:rsidRPr="00E97F7C" w:rsidRDefault="006C2FDE">
      <w:pPr>
        <w:spacing w:after="384" w:line="259" w:lineRule="auto"/>
        <w:ind w:left="360" w:right="0" w:firstLine="0"/>
        <w:jc w:val="center"/>
      </w:pPr>
      <w:r w:rsidRPr="00E97F7C">
        <w:rPr>
          <w:b/>
          <w:u w:val="single" w:color="000000"/>
        </w:rPr>
        <w:lastRenderedPageBreak/>
        <w:t xml:space="preserve">Human Rights Policy </w:t>
      </w:r>
    </w:p>
    <w:p w14:paraId="673427E0" w14:textId="63F9BC38" w:rsidR="00263E65" w:rsidRPr="00E97F7C" w:rsidRDefault="006A098D" w:rsidP="004E6FCE">
      <w:pPr>
        <w:pStyle w:val="Heading1"/>
        <w:numPr>
          <w:ilvl w:val="0"/>
          <w:numId w:val="0"/>
        </w:numPr>
      </w:pPr>
      <w:r w:rsidRPr="00E97F7C">
        <w:t>Purpose and Scope</w:t>
      </w:r>
    </w:p>
    <w:p w14:paraId="19540779" w14:textId="77777777" w:rsidR="006C2FDE" w:rsidRPr="00E97F7C" w:rsidRDefault="006C2FDE" w:rsidP="00AD2961"/>
    <w:p w14:paraId="56EA9B15" w14:textId="7766ADFD" w:rsidR="00263E65" w:rsidRPr="00E97F7C" w:rsidRDefault="006C2FDE">
      <w:pPr>
        <w:spacing w:after="316"/>
        <w:ind w:left="331" w:right="100"/>
      </w:pPr>
      <w:r w:rsidRPr="00E97F7C">
        <w:t xml:space="preserve">Sharda Motor Industries Limited (“SMIL”) is committed </w:t>
      </w:r>
      <w:r w:rsidR="00AD2961" w:rsidRPr="00E97F7C">
        <w:t>in</w:t>
      </w:r>
      <w:r w:rsidRPr="00E97F7C">
        <w:t xml:space="preserve"> developing an organizational culture based upon a policy which recognized human rights and seeks to avoid human rights abuses. SMIL understand the human rights content of the Constitution of India, national laws and policies.</w:t>
      </w:r>
      <w:r w:rsidR="006A098D" w:rsidRPr="00E97F7C">
        <w:t xml:space="preserve"> This Human Rights Policy applies to all Sharda Motor Industries operations, including manufacturing plants, offices, warehouses, and any joint ventures or subsidiaries. It covers all employees, contractors, suppliers, business partners, and stakeholders engaged in our value chain.</w:t>
      </w:r>
      <w:r w:rsidRPr="00E97F7C">
        <w:t xml:space="preserve"> </w:t>
      </w:r>
      <w:r w:rsidR="000E6291">
        <w:t>SMIL</w:t>
      </w:r>
      <w:r w:rsidRPr="00E97F7C">
        <w:t xml:space="preserve"> seek to identify, assess and manage human rights with the following policy </w:t>
      </w:r>
      <w:r w:rsidR="004E6FCE" w:rsidRPr="00E97F7C">
        <w:t>commitments</w:t>
      </w:r>
      <w:r w:rsidR="00521F36" w:rsidRPr="00E97F7C">
        <w:t>.</w:t>
      </w:r>
    </w:p>
    <w:p w14:paraId="4B8793C8" w14:textId="09D4E83E" w:rsidR="001D6948" w:rsidRPr="00E97F7C" w:rsidRDefault="001D6948" w:rsidP="001D6948">
      <w:pPr>
        <w:spacing w:after="316"/>
        <w:ind w:left="0" w:right="100" w:firstLine="0"/>
        <w:rPr>
          <w:b/>
          <w:bCs/>
        </w:rPr>
      </w:pPr>
      <w:r w:rsidRPr="00E97F7C">
        <w:rPr>
          <w:b/>
          <w:bCs/>
        </w:rPr>
        <w:t>Human Rights Principles and Values</w:t>
      </w:r>
    </w:p>
    <w:p w14:paraId="27E8A271" w14:textId="77777777" w:rsidR="00DE51D2" w:rsidRPr="00E97F7C" w:rsidRDefault="00DE51D2" w:rsidP="00DE51D2">
      <w:pPr>
        <w:spacing w:after="316"/>
        <w:ind w:left="0" w:right="100" w:firstLine="0"/>
      </w:pPr>
      <w:r w:rsidRPr="00E97F7C">
        <w:t>To ensure that no violation of human rights takes place, SMIL is dedicated to upholding the following principles:</w:t>
      </w:r>
    </w:p>
    <w:p w14:paraId="22AC8C43" w14:textId="3C0B09C9" w:rsidR="00DE51D2" w:rsidRPr="00E97F7C" w:rsidRDefault="00DE51D2" w:rsidP="00EE0D25">
      <w:pPr>
        <w:numPr>
          <w:ilvl w:val="0"/>
          <w:numId w:val="3"/>
        </w:numPr>
        <w:spacing w:after="316"/>
        <w:ind w:right="100" w:hanging="436"/>
      </w:pPr>
      <w:r w:rsidRPr="00EE0D25">
        <w:rPr>
          <w:b/>
          <w:bCs/>
        </w:rPr>
        <w:t>Equal Opportunity and Non-</w:t>
      </w:r>
      <w:r w:rsidR="00EE0D25" w:rsidRPr="00EE0D25">
        <w:rPr>
          <w:b/>
          <w:bCs/>
        </w:rPr>
        <w:t xml:space="preserve">Discrimination: </w:t>
      </w:r>
      <w:r w:rsidR="000E6291">
        <w:t>SMIL</w:t>
      </w:r>
      <w:r w:rsidRPr="00E97F7C">
        <w:t xml:space="preserve"> are committed to equal opportunity and maintain zero tolerance for discrimination and harassment. In all aspects of employment — including recruitment, compensation, benefits, training, promotion, transfer, and termination — individuals are treated fairly and solely on the basis of merit, qualifications, performance, and role requirements.</w:t>
      </w:r>
      <w:r w:rsidR="00EE0D25">
        <w:t xml:space="preserve">  </w:t>
      </w:r>
      <w:r w:rsidR="000E6291">
        <w:t>SMIL</w:t>
      </w:r>
      <w:r w:rsidRPr="00E97F7C">
        <w:t xml:space="preserve"> prohibit discrimination or harassment on the basis of gender, sex, race, religion, caste, ethnicity, </w:t>
      </w:r>
      <w:proofErr w:type="spellStart"/>
      <w:r w:rsidRPr="00E97F7C">
        <w:t>colour</w:t>
      </w:r>
      <w:proofErr w:type="spellEnd"/>
      <w:r w:rsidRPr="00E97F7C">
        <w:t>, social origin, age, disability, sexual orientation, or any other protected characteristic.</w:t>
      </w:r>
    </w:p>
    <w:p w14:paraId="508DBD8E" w14:textId="59ACEC54" w:rsidR="00DE51D2" w:rsidRPr="00E97F7C" w:rsidRDefault="00DE51D2" w:rsidP="00EE0D25">
      <w:pPr>
        <w:numPr>
          <w:ilvl w:val="0"/>
          <w:numId w:val="3"/>
        </w:numPr>
        <w:spacing w:after="316"/>
        <w:ind w:right="100" w:hanging="436"/>
      </w:pPr>
      <w:r w:rsidRPr="00EE0D25">
        <w:rPr>
          <w:b/>
          <w:bCs/>
        </w:rPr>
        <w:t>Dignity and Respect at Workplace</w:t>
      </w:r>
      <w:r w:rsidR="00EE0D25" w:rsidRPr="00EE0D25">
        <w:rPr>
          <w:b/>
          <w:bCs/>
        </w:rPr>
        <w:t xml:space="preserve">: </w:t>
      </w:r>
      <w:r w:rsidR="000E6291">
        <w:t>SMIL</w:t>
      </w:r>
      <w:r w:rsidRPr="00E97F7C">
        <w:t xml:space="preserve"> are committed to maintaining a workplace free from violence, harassment, intimidation, coercion, and other unsafe or disruptive conditions,</w:t>
      </w:r>
      <w:r w:rsidR="00EE0D25">
        <w:t xml:space="preserve"> </w:t>
      </w:r>
      <w:r w:rsidRPr="00E97F7C">
        <w:t>whether arising internally or externally. All forms of physical, verbal, psychological, or sexual harassment are strictly prohibited.</w:t>
      </w:r>
    </w:p>
    <w:p w14:paraId="68ADDAE8" w14:textId="4E53C74B" w:rsidR="00DE51D2" w:rsidRPr="00E97F7C" w:rsidRDefault="00DE51D2" w:rsidP="00EE0D25">
      <w:pPr>
        <w:numPr>
          <w:ilvl w:val="0"/>
          <w:numId w:val="3"/>
        </w:numPr>
        <w:spacing w:after="316"/>
        <w:ind w:right="100" w:hanging="436"/>
      </w:pPr>
      <w:r w:rsidRPr="00EE0D25">
        <w:rPr>
          <w:b/>
          <w:bCs/>
        </w:rPr>
        <w:t>Freedom of Association and Collective Bargaining</w:t>
      </w:r>
      <w:r w:rsidR="00EE0D25" w:rsidRPr="00EE0D25">
        <w:rPr>
          <w:b/>
          <w:bCs/>
        </w:rPr>
        <w:t xml:space="preserve">: </w:t>
      </w:r>
      <w:r w:rsidR="000E6291">
        <w:t>SMIL</w:t>
      </w:r>
      <w:r w:rsidRPr="00E97F7C">
        <w:t xml:space="preserve"> respect employees’ rights to form, join, or not join trade unions and to engage in collective bargaining, in accordance with</w:t>
      </w:r>
      <w:r w:rsidR="00EE0D25">
        <w:t xml:space="preserve"> </w:t>
      </w:r>
      <w:r w:rsidRPr="00E97F7C">
        <w:t xml:space="preserve">applicable laws. </w:t>
      </w:r>
      <w:r w:rsidR="000E6291">
        <w:t>SMIL</w:t>
      </w:r>
      <w:r w:rsidRPr="00E97F7C">
        <w:t xml:space="preserve"> prohibit interference with the lawful establishment, functioning, or administration of workers’ organizations.</w:t>
      </w:r>
    </w:p>
    <w:p w14:paraId="70B3ECD1" w14:textId="2B62DFF2" w:rsidR="00DE51D2" w:rsidRPr="00E97F7C" w:rsidRDefault="00DE51D2" w:rsidP="00EE0D25">
      <w:pPr>
        <w:numPr>
          <w:ilvl w:val="0"/>
          <w:numId w:val="3"/>
        </w:numPr>
        <w:spacing w:after="316"/>
        <w:ind w:right="100"/>
      </w:pPr>
      <w:r w:rsidRPr="00E97F7C">
        <w:rPr>
          <w:b/>
          <w:bCs/>
        </w:rPr>
        <w:t xml:space="preserve">Prohibition of Child </w:t>
      </w:r>
      <w:proofErr w:type="spellStart"/>
      <w:r w:rsidRPr="00E97F7C">
        <w:rPr>
          <w:b/>
          <w:bCs/>
        </w:rPr>
        <w:t>Labour</w:t>
      </w:r>
      <w:proofErr w:type="spellEnd"/>
      <w:r w:rsidRPr="00E97F7C">
        <w:rPr>
          <w:b/>
          <w:bCs/>
        </w:rPr>
        <w:t xml:space="preserve"> and Forced </w:t>
      </w:r>
      <w:proofErr w:type="spellStart"/>
      <w:r w:rsidRPr="00E97F7C">
        <w:rPr>
          <w:b/>
          <w:bCs/>
        </w:rPr>
        <w:t>Labour</w:t>
      </w:r>
      <w:proofErr w:type="spellEnd"/>
      <w:r w:rsidR="00EE0D25">
        <w:rPr>
          <w:b/>
          <w:bCs/>
        </w:rPr>
        <w:t xml:space="preserve">: </w:t>
      </w:r>
      <w:r w:rsidR="000E6291">
        <w:t>SMIL</w:t>
      </w:r>
      <w:r w:rsidRPr="00E97F7C">
        <w:t xml:space="preserve"> strictly prohibit the use of child labour, bonded labour, forced labour, trafficked labour, modern slavery, or any form of involuntary labour in our operations and value chain. </w:t>
      </w:r>
      <w:r w:rsidR="0063075C">
        <w:t>It</w:t>
      </w:r>
      <w:r w:rsidRPr="00E97F7C">
        <w:t xml:space="preserve"> do</w:t>
      </w:r>
      <w:r w:rsidR="0063075C">
        <w:t>es</w:t>
      </w:r>
      <w:r w:rsidRPr="00E97F7C">
        <w:t xml:space="preserve"> not employ individuals under the age of 18 years.</w:t>
      </w:r>
    </w:p>
    <w:p w14:paraId="4190F567" w14:textId="6F98FC28" w:rsidR="00DE51D2" w:rsidRPr="00E97F7C" w:rsidRDefault="00DE51D2" w:rsidP="00EE0D25">
      <w:pPr>
        <w:numPr>
          <w:ilvl w:val="0"/>
          <w:numId w:val="3"/>
        </w:numPr>
        <w:spacing w:after="316"/>
        <w:ind w:right="100"/>
      </w:pPr>
      <w:r w:rsidRPr="00E97F7C">
        <w:rPr>
          <w:b/>
          <w:bCs/>
        </w:rPr>
        <w:t>Health and Safety</w:t>
      </w:r>
      <w:r w:rsidR="00EE0D25">
        <w:rPr>
          <w:b/>
          <w:bCs/>
        </w:rPr>
        <w:t xml:space="preserve">: </w:t>
      </w:r>
      <w:r w:rsidRPr="00E97F7C">
        <w:t xml:space="preserve">The health and safety of our employees is of paramount importance. </w:t>
      </w:r>
      <w:r w:rsidR="000E6291">
        <w:t>SMIL</w:t>
      </w:r>
      <w:r w:rsidRPr="00E97F7C">
        <w:t xml:space="preserve"> </w:t>
      </w:r>
      <w:r w:rsidR="0063075C">
        <w:t xml:space="preserve">is </w:t>
      </w:r>
      <w:r w:rsidRPr="00E97F7C">
        <w:t>committed to providing a safe, secure, and hygienic workplace that complies with applicable safety and health laws, regulations, and internal standards.</w:t>
      </w:r>
    </w:p>
    <w:p w14:paraId="71234469" w14:textId="211E713B" w:rsidR="00DE51D2" w:rsidRPr="00E97F7C" w:rsidRDefault="00DE51D2" w:rsidP="00EE0D25">
      <w:pPr>
        <w:numPr>
          <w:ilvl w:val="0"/>
          <w:numId w:val="3"/>
        </w:numPr>
        <w:spacing w:after="316"/>
        <w:ind w:left="709" w:right="100" w:hanging="283"/>
      </w:pPr>
      <w:r w:rsidRPr="00EE0D25">
        <w:rPr>
          <w:b/>
          <w:bCs/>
        </w:rPr>
        <w:t>Fair Wages and Working Conditions</w:t>
      </w:r>
      <w:r w:rsidR="00EE0D25">
        <w:rPr>
          <w:b/>
          <w:bCs/>
        </w:rPr>
        <w:t xml:space="preserve">: </w:t>
      </w:r>
      <w:r w:rsidR="00334684">
        <w:t>SMIL</w:t>
      </w:r>
      <w:r w:rsidRPr="00E97F7C">
        <w:t xml:space="preserve"> ensure timely payment of wages to meet employees’ basic needs and provide working</w:t>
      </w:r>
      <w:r w:rsidR="00EE0D25">
        <w:t xml:space="preserve"> </w:t>
      </w:r>
      <w:r w:rsidRPr="00E97F7C">
        <w:t xml:space="preserve">conditions that uphold human dignity. </w:t>
      </w:r>
      <w:r w:rsidR="00334684">
        <w:t>SMIL</w:t>
      </w:r>
      <w:r w:rsidRPr="00E97F7C">
        <w:t xml:space="preserve"> strive </w:t>
      </w:r>
      <w:r w:rsidRPr="00E97F7C">
        <w:lastRenderedPageBreak/>
        <w:t>to promote work-life balance, especially for women and employees requiring special consideration.</w:t>
      </w:r>
      <w:r w:rsidR="00334684">
        <w:t xml:space="preserve"> SMIL complies with the </w:t>
      </w:r>
      <w:r w:rsidR="00334684" w:rsidRPr="00334684">
        <w:rPr>
          <w:lang w:val="en-IN"/>
        </w:rPr>
        <w:t xml:space="preserve">national legal working time regulations as a minimum requirement. </w:t>
      </w:r>
      <w:r w:rsidR="000E6291">
        <w:rPr>
          <w:lang w:val="en-IN"/>
        </w:rPr>
        <w:t>It also</w:t>
      </w:r>
      <w:r w:rsidR="00334684" w:rsidRPr="00334684">
        <w:rPr>
          <w:lang w:val="en-IN"/>
        </w:rPr>
        <w:t xml:space="preserve"> values the employee’s resting times, leisure, holidays and a healthy life balance and has made provisions for the same in its policies and benefits which are extended to all its employees. The organisation is committed to avoiding or reducing overtime or excessive working hours, while ensuring employees have sufficient rest and leisure time. Provisions for annual paid leave and related </w:t>
      </w:r>
      <w:r w:rsidR="000E6291" w:rsidRPr="000E6291">
        <w:t>entitlements</w:t>
      </w:r>
      <w:r w:rsidR="000E6291" w:rsidRPr="000E6291">
        <w:rPr>
          <w:lang w:val="en-IN"/>
        </w:rPr>
        <w:t xml:space="preserve"> </w:t>
      </w:r>
      <w:r w:rsidR="00334684" w:rsidRPr="00334684">
        <w:rPr>
          <w:lang w:val="en-IN"/>
        </w:rPr>
        <w:t>are extended to all employees</w:t>
      </w:r>
    </w:p>
    <w:p w14:paraId="710461BC" w14:textId="62946F72" w:rsidR="00DE51D2" w:rsidRPr="00E97F7C" w:rsidRDefault="00DE51D2" w:rsidP="00EE0D25">
      <w:pPr>
        <w:numPr>
          <w:ilvl w:val="0"/>
          <w:numId w:val="3"/>
        </w:numPr>
        <w:spacing w:after="316"/>
        <w:ind w:right="100"/>
      </w:pPr>
      <w:r w:rsidRPr="00E97F7C">
        <w:rPr>
          <w:b/>
          <w:bCs/>
        </w:rPr>
        <w:t xml:space="preserve">Privacy and Data </w:t>
      </w:r>
      <w:r w:rsidR="000E6291" w:rsidRPr="00E97F7C">
        <w:rPr>
          <w:b/>
          <w:bCs/>
        </w:rPr>
        <w:t>Protection</w:t>
      </w:r>
      <w:r w:rsidR="000E6291">
        <w:rPr>
          <w:b/>
          <w:bCs/>
        </w:rPr>
        <w:t>:</w:t>
      </w:r>
      <w:r w:rsidR="00EE0D25">
        <w:rPr>
          <w:b/>
          <w:bCs/>
        </w:rPr>
        <w:t xml:space="preserve"> </w:t>
      </w:r>
      <w:r w:rsidR="000E6291">
        <w:t>SMIL</w:t>
      </w:r>
      <w:r w:rsidRPr="00E97F7C">
        <w:t xml:space="preserve"> respect the privacy of employees and business partners. Personal, medical, and financial information is protected in accordance with applicable laws and is not disclosed unless legally mandated.</w:t>
      </w:r>
    </w:p>
    <w:p w14:paraId="50265139" w14:textId="68641C67" w:rsidR="00DE51D2" w:rsidRDefault="00DE51D2" w:rsidP="00EE0D25">
      <w:pPr>
        <w:numPr>
          <w:ilvl w:val="0"/>
          <w:numId w:val="3"/>
        </w:numPr>
        <w:spacing w:after="316"/>
        <w:ind w:right="100"/>
      </w:pPr>
      <w:r w:rsidRPr="00E97F7C">
        <w:rPr>
          <w:b/>
          <w:bCs/>
        </w:rPr>
        <w:t xml:space="preserve">Legal </w:t>
      </w:r>
      <w:r w:rsidR="00334684" w:rsidRPr="00E97F7C">
        <w:rPr>
          <w:b/>
          <w:bCs/>
        </w:rPr>
        <w:t>Compliance</w:t>
      </w:r>
      <w:r w:rsidR="00334684">
        <w:rPr>
          <w:b/>
          <w:bCs/>
        </w:rPr>
        <w:t xml:space="preserve">: </w:t>
      </w:r>
      <w:r w:rsidR="000E6291">
        <w:t>SMIL</w:t>
      </w:r>
      <w:r w:rsidRPr="00E97F7C">
        <w:t xml:space="preserve"> maintain</w:t>
      </w:r>
      <w:r w:rsidR="0063075C">
        <w:t>s</w:t>
      </w:r>
      <w:r w:rsidRPr="00E97F7C">
        <w:t xml:space="preserve"> strict compliance with constitutional, statutory, and regulatory human rights requirements in all jurisdictions where </w:t>
      </w:r>
      <w:r w:rsidR="0063075C">
        <w:t>it</w:t>
      </w:r>
      <w:r w:rsidRPr="00E97F7C">
        <w:t xml:space="preserve"> operate</w:t>
      </w:r>
      <w:r w:rsidR="0063075C">
        <w:t>s</w:t>
      </w:r>
      <w:r w:rsidRPr="00E97F7C">
        <w:t>.</w:t>
      </w:r>
    </w:p>
    <w:p w14:paraId="482269FD" w14:textId="06C38B53" w:rsidR="006024DC" w:rsidRPr="00E97F7C" w:rsidRDefault="006024DC" w:rsidP="006024DC">
      <w:pPr>
        <w:spacing w:after="316"/>
        <w:ind w:left="360" w:right="100" w:firstLine="0"/>
      </w:pPr>
      <w:r>
        <w:rPr>
          <w:b/>
          <w:bCs/>
        </w:rPr>
        <w:t>Implementation</w:t>
      </w:r>
    </w:p>
    <w:p w14:paraId="47B69E94" w14:textId="3EC29FD0" w:rsidR="00D06B00" w:rsidRPr="00E97F7C" w:rsidRDefault="00D06B00" w:rsidP="00D15FF9">
      <w:pPr>
        <w:pStyle w:val="Heading1"/>
        <w:spacing w:after="317"/>
        <w:ind w:left="567" w:hanging="240"/>
      </w:pPr>
      <w:r w:rsidRPr="00E97F7C">
        <w:t>Due Diligence</w:t>
      </w:r>
    </w:p>
    <w:p w14:paraId="6915402D" w14:textId="7ED37494" w:rsidR="00D06B00" w:rsidRPr="00E97F7C" w:rsidRDefault="006024DC" w:rsidP="00D06B00">
      <w:r>
        <w:t>SMIL</w:t>
      </w:r>
      <w:r w:rsidR="00E65CFA" w:rsidRPr="00E97F7C">
        <w:t xml:space="preserve"> conduct regular human rights due diligence, including identification, assessment, and prioritization of potential human rights impacts across </w:t>
      </w:r>
      <w:r>
        <w:t>its</w:t>
      </w:r>
      <w:r w:rsidR="00E65CFA" w:rsidRPr="00E97F7C">
        <w:t xml:space="preserve"> operations and supply chain. Risk assessments will include labor practices, occupational safety, community impact, and supply chain compliance. Mitigation measures will be implemented for all identified risks, and results will be revied annually or when material changes occur.</w:t>
      </w:r>
    </w:p>
    <w:p w14:paraId="387032EC" w14:textId="77777777" w:rsidR="00E65CFA" w:rsidRPr="00E97F7C" w:rsidRDefault="00E65CFA" w:rsidP="00D15FF9"/>
    <w:p w14:paraId="1B696412" w14:textId="4518EBB7" w:rsidR="00263E65" w:rsidRPr="00E97F7C" w:rsidRDefault="00923F01" w:rsidP="00D15FF9">
      <w:pPr>
        <w:pStyle w:val="Heading1"/>
        <w:spacing w:after="336"/>
        <w:ind w:left="567" w:hanging="240"/>
      </w:pPr>
      <w:r w:rsidRPr="00E97F7C">
        <w:t>Training and Awareness</w:t>
      </w:r>
      <w:r w:rsidR="00D15FF9" w:rsidRPr="00E97F7C">
        <w:t xml:space="preserve"> - </w:t>
      </w:r>
      <w:r w:rsidR="006C2FDE" w:rsidRPr="00E97F7C">
        <w:t>Local Communities</w:t>
      </w:r>
    </w:p>
    <w:p w14:paraId="55ED33C5" w14:textId="684FFFA3" w:rsidR="008E15E1" w:rsidRPr="00E97F7C" w:rsidRDefault="006C2FDE" w:rsidP="009B4DFE">
      <w:pPr>
        <w:ind w:left="331" w:right="100"/>
      </w:pPr>
      <w:r w:rsidRPr="00E97F7C">
        <w:t xml:space="preserve">To respect the cultures, customs and values of the people in communities in which </w:t>
      </w:r>
      <w:r w:rsidR="006024DC">
        <w:t>the company</w:t>
      </w:r>
      <w:r w:rsidRPr="00E97F7C">
        <w:t xml:space="preserve"> operate</w:t>
      </w:r>
      <w:r w:rsidR="006024DC">
        <w:t>s</w:t>
      </w:r>
      <w:r w:rsidRPr="00E97F7C">
        <w:t>.</w:t>
      </w:r>
      <w:r w:rsidR="009B4DFE" w:rsidRPr="00E97F7C">
        <w:t xml:space="preserve"> </w:t>
      </w:r>
      <w:r w:rsidRPr="00E97F7C">
        <w:t>To contribute towards the fulfillment of human rights by improving economic, environmental</w:t>
      </w:r>
      <w:r w:rsidR="008E15E1" w:rsidRPr="00E97F7C">
        <w:t xml:space="preserve"> and social conditions and serve as a positive influence in communities in which </w:t>
      </w:r>
      <w:r w:rsidR="00334684">
        <w:t>the company</w:t>
      </w:r>
      <w:r w:rsidR="008E15E1" w:rsidRPr="00E97F7C">
        <w:t xml:space="preserve"> operate</w:t>
      </w:r>
      <w:r w:rsidR="00334684">
        <w:t>s</w:t>
      </w:r>
      <w:r w:rsidR="008E15E1" w:rsidRPr="00E97F7C">
        <w:t xml:space="preserve">. To have open dialogue with stakeholders and to ensure the provision of security is consistent with of best of industry standards and practices and the laws of the </w:t>
      </w:r>
      <w:r w:rsidR="00334684">
        <w:t>land.</w:t>
      </w:r>
      <w:r w:rsidR="008E15E1" w:rsidRPr="00E97F7C">
        <w:t xml:space="preserve"> </w:t>
      </w:r>
    </w:p>
    <w:p w14:paraId="19B38979" w14:textId="77777777" w:rsidR="008E15E1" w:rsidRPr="00E97F7C" w:rsidRDefault="008E15E1" w:rsidP="00D15FF9">
      <w:pPr>
        <w:ind w:right="100"/>
      </w:pPr>
    </w:p>
    <w:p w14:paraId="20A99E8E" w14:textId="2A18FA37" w:rsidR="00410391" w:rsidRDefault="00334684" w:rsidP="00D15FF9">
      <w:pPr>
        <w:ind w:left="0" w:right="100" w:firstLine="240"/>
        <w:rPr>
          <w:b/>
          <w:bCs/>
        </w:rPr>
      </w:pPr>
      <w:r>
        <w:rPr>
          <w:b/>
          <w:bCs/>
        </w:rPr>
        <w:t xml:space="preserve">3.  </w:t>
      </w:r>
      <w:r w:rsidR="00410391" w:rsidRPr="00E97F7C">
        <w:rPr>
          <w:b/>
          <w:bCs/>
        </w:rPr>
        <w:t>Roles and Responsibilities</w:t>
      </w:r>
    </w:p>
    <w:p w14:paraId="67A19379" w14:textId="77777777" w:rsidR="00334684" w:rsidRPr="00E97F7C" w:rsidRDefault="00334684" w:rsidP="00D15FF9">
      <w:pPr>
        <w:ind w:left="0" w:right="100" w:firstLine="240"/>
        <w:rPr>
          <w:b/>
          <w:bCs/>
        </w:rPr>
      </w:pPr>
    </w:p>
    <w:p w14:paraId="0BDC65AF" w14:textId="33F1B993" w:rsidR="00263E65" w:rsidRPr="00E97F7C" w:rsidRDefault="005749BA" w:rsidP="00334684">
      <w:pPr>
        <w:ind w:left="331" w:right="100"/>
      </w:pPr>
      <w:r w:rsidRPr="00E97F7C">
        <w:t>The Board and Top Management are responsible for oversight and ensuring resources for effective implementation of this policy. The HR Department will implement the policy, monitor compliance, and report findings. Supervisors and line managers must ensure safe and respectful practices in daily operations. All employees, contractors, and suppliers are required to comply with this policy. Responsibilities will be integrated into performance evaluations and incentive programs.</w:t>
      </w:r>
      <w:r w:rsidR="006C2FDE" w:rsidRPr="00E97F7C">
        <w:t xml:space="preserve"> </w:t>
      </w:r>
    </w:p>
    <w:p w14:paraId="690A9C12" w14:textId="77777777" w:rsidR="00B169F6" w:rsidRDefault="00B169F6" w:rsidP="00361577">
      <w:pPr>
        <w:spacing w:after="20" w:line="259" w:lineRule="auto"/>
        <w:ind w:left="0" w:right="0" w:firstLine="0"/>
        <w:rPr>
          <w:b/>
          <w:bCs/>
        </w:rPr>
      </w:pPr>
    </w:p>
    <w:p w14:paraId="66C972F9" w14:textId="77777777" w:rsidR="00334684" w:rsidRDefault="00334684" w:rsidP="00361577">
      <w:pPr>
        <w:spacing w:after="20" w:line="259" w:lineRule="auto"/>
        <w:ind w:left="0" w:right="0" w:firstLine="0"/>
        <w:rPr>
          <w:b/>
          <w:bCs/>
        </w:rPr>
      </w:pPr>
    </w:p>
    <w:p w14:paraId="718BBED6" w14:textId="77777777" w:rsidR="000E6291" w:rsidRDefault="000E6291" w:rsidP="00361577">
      <w:pPr>
        <w:spacing w:after="20" w:line="259" w:lineRule="auto"/>
        <w:ind w:left="0" w:right="0" w:firstLine="0"/>
        <w:rPr>
          <w:b/>
          <w:bCs/>
        </w:rPr>
      </w:pPr>
    </w:p>
    <w:p w14:paraId="3C798EAA" w14:textId="77777777" w:rsidR="000E6291" w:rsidRDefault="000E6291" w:rsidP="00361577">
      <w:pPr>
        <w:spacing w:after="20" w:line="259" w:lineRule="auto"/>
        <w:ind w:left="0" w:right="0" w:firstLine="0"/>
        <w:rPr>
          <w:b/>
          <w:bCs/>
        </w:rPr>
      </w:pPr>
    </w:p>
    <w:p w14:paraId="542F7E2D" w14:textId="77777777" w:rsidR="000E6291" w:rsidRDefault="000E6291" w:rsidP="00361577">
      <w:pPr>
        <w:spacing w:after="20" w:line="259" w:lineRule="auto"/>
        <w:ind w:left="0" w:right="0" w:firstLine="0"/>
        <w:rPr>
          <w:b/>
          <w:bCs/>
        </w:rPr>
      </w:pPr>
    </w:p>
    <w:p w14:paraId="6C5D3CB3" w14:textId="77777777" w:rsidR="00334684" w:rsidRPr="00E97F7C" w:rsidRDefault="00334684" w:rsidP="00361577">
      <w:pPr>
        <w:spacing w:after="20" w:line="259" w:lineRule="auto"/>
        <w:ind w:left="0" w:right="0" w:firstLine="0"/>
        <w:rPr>
          <w:b/>
          <w:bCs/>
        </w:rPr>
      </w:pPr>
    </w:p>
    <w:p w14:paraId="01FB3C5F" w14:textId="5FE3A108" w:rsidR="00361577" w:rsidRDefault="00334684" w:rsidP="00D15FF9">
      <w:pPr>
        <w:spacing w:after="20" w:line="259" w:lineRule="auto"/>
        <w:ind w:left="0" w:right="0" w:firstLine="240"/>
        <w:rPr>
          <w:b/>
          <w:bCs/>
        </w:rPr>
      </w:pPr>
      <w:r>
        <w:rPr>
          <w:b/>
          <w:bCs/>
        </w:rPr>
        <w:lastRenderedPageBreak/>
        <w:t xml:space="preserve">4. </w:t>
      </w:r>
      <w:r w:rsidR="00361577" w:rsidRPr="00E97F7C">
        <w:rPr>
          <w:b/>
          <w:bCs/>
        </w:rPr>
        <w:t>Monitoring, Reporting and Continuous Improvement</w:t>
      </w:r>
    </w:p>
    <w:p w14:paraId="66F0F33C" w14:textId="77777777" w:rsidR="00334684" w:rsidRPr="00E97F7C" w:rsidRDefault="00334684" w:rsidP="00D15FF9">
      <w:pPr>
        <w:spacing w:after="20" w:line="259" w:lineRule="auto"/>
        <w:ind w:left="0" w:right="0" w:firstLine="240"/>
        <w:rPr>
          <w:b/>
          <w:bCs/>
        </w:rPr>
      </w:pPr>
    </w:p>
    <w:p w14:paraId="7965B094" w14:textId="4B73F5C0" w:rsidR="00361577" w:rsidRPr="00E97F7C" w:rsidRDefault="00B169F6" w:rsidP="005749BA">
      <w:pPr>
        <w:spacing w:after="20" w:line="259" w:lineRule="auto"/>
        <w:ind w:left="240" w:right="0" w:firstLine="0"/>
      </w:pPr>
      <w:r w:rsidRPr="00E97F7C">
        <w:t>Sharda Motor will regularly monitor and report on human rights performance using key indicators, including grievance resolution, risk mitigation actions, and supplier compliance. The policy and associated processes will be revied annually by top management and updated as required to reflect emerging risks, stakeholder expectations, and regulatory changes. Continuous improvement will be pursued through audits, feedback, and benchmarking against global best practices.</w:t>
      </w:r>
    </w:p>
    <w:p w14:paraId="1DCB8E52" w14:textId="77777777" w:rsidR="00B169F6" w:rsidRPr="00E97F7C" w:rsidRDefault="00B169F6" w:rsidP="00D15FF9">
      <w:pPr>
        <w:spacing w:after="20" w:line="259" w:lineRule="auto"/>
        <w:ind w:left="240" w:right="0" w:firstLine="0"/>
      </w:pPr>
    </w:p>
    <w:p w14:paraId="2135A47F" w14:textId="6C87F9F0" w:rsidR="00263E65" w:rsidRPr="00E97F7C" w:rsidRDefault="00334684" w:rsidP="00D15FF9">
      <w:pPr>
        <w:pStyle w:val="Heading1"/>
        <w:numPr>
          <w:ilvl w:val="0"/>
          <w:numId w:val="0"/>
        </w:numPr>
        <w:ind w:firstLine="240"/>
      </w:pPr>
      <w:r>
        <w:t xml:space="preserve">5. </w:t>
      </w:r>
      <w:r w:rsidR="006C2FDE" w:rsidRPr="00E97F7C">
        <w:t xml:space="preserve">Grievance mechanism </w:t>
      </w:r>
    </w:p>
    <w:p w14:paraId="21F45F46" w14:textId="77777777" w:rsidR="00263E65" w:rsidRPr="00E97F7C" w:rsidRDefault="006C2FDE">
      <w:pPr>
        <w:spacing w:after="10" w:line="259" w:lineRule="auto"/>
        <w:ind w:left="240" w:right="0" w:firstLine="0"/>
        <w:jc w:val="left"/>
      </w:pPr>
      <w:r w:rsidRPr="00E97F7C">
        <w:rPr>
          <w:b/>
        </w:rPr>
        <w:t xml:space="preserve"> </w:t>
      </w:r>
    </w:p>
    <w:p w14:paraId="09D9EC0C" w14:textId="3CAD5983" w:rsidR="00263E65" w:rsidRPr="00E97F7C" w:rsidRDefault="006C2FDE" w:rsidP="00611E90">
      <w:pPr>
        <w:spacing w:after="5577"/>
        <w:ind w:left="284" w:right="100" w:firstLine="0"/>
      </w:pPr>
      <w:r w:rsidRPr="00E97F7C">
        <w:t>SMIL is committed to prevent any human rights violation and ensures the compliance of the Policy through a mechanism implemented by the HR Department and regularly monitored at all Plants by the HR department. All stakeholders also have a secure and 24x7 access to raise grievances with HR Department and to report anonymously any breach with respect to the Human Rights Policy through the Vigila</w:t>
      </w:r>
      <w:r w:rsidR="00410391" w:rsidRPr="00E97F7C">
        <w:t>nc</w:t>
      </w:r>
      <w:r w:rsidRPr="00E97F7C">
        <w:t>e.</w:t>
      </w:r>
    </w:p>
    <w:sectPr w:rsidR="00263E65" w:rsidRPr="00E97F7C" w:rsidSect="00D15FF9">
      <w:pgSz w:w="11900" w:h="16840"/>
      <w:pgMar w:top="1276" w:right="1261" w:bottom="1560"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2C5"/>
    <w:multiLevelType w:val="hybridMultilevel"/>
    <w:tmpl w:val="720C8F0C"/>
    <w:lvl w:ilvl="0" w:tplc="562C689A">
      <w:start w:val="1"/>
      <w:numFmt w:val="decimal"/>
      <w:pStyle w:val="Heading1"/>
      <w:lvlText w:val="%1."/>
      <w:lvlJc w:val="left"/>
      <w:pPr>
        <w:ind w:left="9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03C6884">
      <w:start w:val="1"/>
      <w:numFmt w:val="lowerLetter"/>
      <w:lvlText w:val="%2"/>
      <w:lvlJc w:val="left"/>
      <w:pPr>
        <w:ind w:left="15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121C11E0">
      <w:start w:val="1"/>
      <w:numFmt w:val="lowerRoman"/>
      <w:lvlText w:val="%3"/>
      <w:lvlJc w:val="left"/>
      <w:pPr>
        <w:ind w:left="22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04C8D066">
      <w:start w:val="1"/>
      <w:numFmt w:val="decimal"/>
      <w:lvlText w:val="%4"/>
      <w:lvlJc w:val="left"/>
      <w:pPr>
        <w:ind w:left="29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0622734">
      <w:start w:val="1"/>
      <w:numFmt w:val="lowerLetter"/>
      <w:lvlText w:val="%5"/>
      <w:lvlJc w:val="left"/>
      <w:pPr>
        <w:ind w:left="37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28AD1CA">
      <w:start w:val="1"/>
      <w:numFmt w:val="lowerRoman"/>
      <w:lvlText w:val="%6"/>
      <w:lvlJc w:val="left"/>
      <w:pPr>
        <w:ind w:left="44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BA2C024">
      <w:start w:val="1"/>
      <w:numFmt w:val="decimal"/>
      <w:lvlText w:val="%7"/>
      <w:lvlJc w:val="left"/>
      <w:pPr>
        <w:ind w:left="51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41EAA8A">
      <w:start w:val="1"/>
      <w:numFmt w:val="lowerLetter"/>
      <w:lvlText w:val="%8"/>
      <w:lvlJc w:val="left"/>
      <w:pPr>
        <w:ind w:left="58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8260830">
      <w:start w:val="1"/>
      <w:numFmt w:val="lowerRoman"/>
      <w:lvlText w:val="%9"/>
      <w:lvlJc w:val="left"/>
      <w:pPr>
        <w:ind w:left="65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5961E6F"/>
    <w:multiLevelType w:val="hybridMultilevel"/>
    <w:tmpl w:val="754091D0"/>
    <w:lvl w:ilvl="0" w:tplc="62C0E2B0">
      <w:start w:val="2"/>
      <w:numFmt w:val="upperLetter"/>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A070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8A6A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601F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429D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B073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B0D3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9E67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4674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1A6D9F"/>
    <w:multiLevelType w:val="multilevel"/>
    <w:tmpl w:val="524C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177075">
    <w:abstractNumId w:val="0"/>
  </w:num>
  <w:num w:numId="2" w16cid:durableId="1267156977">
    <w:abstractNumId w:val="1"/>
  </w:num>
  <w:num w:numId="3" w16cid:durableId="40503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65"/>
    <w:rsid w:val="00006EE6"/>
    <w:rsid w:val="000A4B36"/>
    <w:rsid w:val="000E6291"/>
    <w:rsid w:val="00150996"/>
    <w:rsid w:val="001D108A"/>
    <w:rsid w:val="001D6948"/>
    <w:rsid w:val="001E4FE5"/>
    <w:rsid w:val="00263E65"/>
    <w:rsid w:val="003042BE"/>
    <w:rsid w:val="00334684"/>
    <w:rsid w:val="00361577"/>
    <w:rsid w:val="00410391"/>
    <w:rsid w:val="004E6FCE"/>
    <w:rsid w:val="00521F36"/>
    <w:rsid w:val="005749BA"/>
    <w:rsid w:val="0060117B"/>
    <w:rsid w:val="006024DC"/>
    <w:rsid w:val="00611E90"/>
    <w:rsid w:val="0063075C"/>
    <w:rsid w:val="006A098D"/>
    <w:rsid w:val="006C2FDE"/>
    <w:rsid w:val="007038D4"/>
    <w:rsid w:val="007E1853"/>
    <w:rsid w:val="008961D3"/>
    <w:rsid w:val="008E15E1"/>
    <w:rsid w:val="008F581E"/>
    <w:rsid w:val="00923F01"/>
    <w:rsid w:val="009B4DFE"/>
    <w:rsid w:val="00A727E5"/>
    <w:rsid w:val="00A729A7"/>
    <w:rsid w:val="00AD2961"/>
    <w:rsid w:val="00B169F6"/>
    <w:rsid w:val="00B2417A"/>
    <w:rsid w:val="00B542ED"/>
    <w:rsid w:val="00BF1BD7"/>
    <w:rsid w:val="00C1757B"/>
    <w:rsid w:val="00C72EBE"/>
    <w:rsid w:val="00D06B00"/>
    <w:rsid w:val="00D15FF9"/>
    <w:rsid w:val="00DB4A52"/>
    <w:rsid w:val="00DE51D2"/>
    <w:rsid w:val="00E65CFA"/>
    <w:rsid w:val="00E97F7C"/>
    <w:rsid w:val="00EE0D25"/>
    <w:rsid w:val="00FC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3EDB"/>
  <w15:docId w15:val="{A80E278B-733D-4837-B36A-C9A4941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8" w:lineRule="auto"/>
      <w:ind w:left="346" w:right="114"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numPr>
        <w:numId w:val="1"/>
      </w:numPr>
      <w:spacing w:after="12" w:line="265" w:lineRule="auto"/>
      <w:ind w:left="346"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paragraph" w:styleId="Revision">
    <w:name w:val="Revision"/>
    <w:hidden/>
    <w:uiPriority w:val="99"/>
    <w:semiHidden/>
    <w:rsid w:val="006A098D"/>
    <w:pPr>
      <w:spacing w:after="0" w:line="240" w:lineRule="auto"/>
    </w:pPr>
    <w:rPr>
      <w:rFonts w:ascii="Times New Roman" w:eastAsia="Times New Roman" w:hAnsi="Times New Roman" w:cs="Times New Roman"/>
      <w:color w:val="000000"/>
      <w:sz w:val="23"/>
    </w:rPr>
  </w:style>
  <w:style w:type="table" w:customStyle="1" w:styleId="TableGrid">
    <w:name w:val="TableGrid"/>
    <w:rsid w:val="006A098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A098D"/>
    <w:rPr>
      <w:sz w:val="16"/>
      <w:szCs w:val="16"/>
    </w:rPr>
  </w:style>
  <w:style w:type="paragraph" w:styleId="CommentText">
    <w:name w:val="annotation text"/>
    <w:basedOn w:val="Normal"/>
    <w:link w:val="CommentTextChar"/>
    <w:uiPriority w:val="99"/>
    <w:unhideWhenUsed/>
    <w:rsid w:val="006A098D"/>
    <w:pPr>
      <w:spacing w:after="281" w:line="240" w:lineRule="auto"/>
      <w:ind w:left="10" w:right="0"/>
    </w:pPr>
    <w:rPr>
      <w:sz w:val="20"/>
      <w:szCs w:val="20"/>
    </w:rPr>
  </w:style>
  <w:style w:type="character" w:customStyle="1" w:styleId="CommentTextChar">
    <w:name w:val="Comment Text Char"/>
    <w:basedOn w:val="DefaultParagraphFont"/>
    <w:link w:val="CommentText"/>
    <w:uiPriority w:val="99"/>
    <w:rsid w:val="006A098D"/>
    <w:rPr>
      <w:rFonts w:ascii="Times New Roman" w:eastAsia="Times New Roman" w:hAnsi="Times New Roman" w:cs="Times New Roman"/>
      <w:color w:val="000000"/>
      <w:sz w:val="20"/>
      <w:szCs w:val="20"/>
    </w:rPr>
  </w:style>
  <w:style w:type="paragraph" w:styleId="TOCHeading">
    <w:name w:val="TOC Heading"/>
    <w:basedOn w:val="Heading1"/>
    <w:next w:val="Normal"/>
    <w:uiPriority w:val="39"/>
    <w:unhideWhenUsed/>
    <w:qFormat/>
    <w:rsid w:val="006A098D"/>
    <w:pPr>
      <w:numPr>
        <w:numId w:val="0"/>
      </w:numPr>
      <w:spacing w:before="240" w:after="0" w:line="259" w:lineRule="auto"/>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6A098D"/>
    <w:pPr>
      <w:spacing w:after="100" w:line="270" w:lineRule="auto"/>
      <w:ind w:left="0" w:right="0"/>
    </w:pPr>
    <w:rPr>
      <w:sz w:val="24"/>
    </w:rPr>
  </w:style>
  <w:style w:type="character" w:styleId="Hyperlink">
    <w:name w:val="Hyperlink"/>
    <w:basedOn w:val="DefaultParagraphFont"/>
    <w:uiPriority w:val="99"/>
    <w:unhideWhenUsed/>
    <w:rsid w:val="006A09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8440">
      <w:bodyDiv w:val="1"/>
      <w:marLeft w:val="0"/>
      <w:marRight w:val="0"/>
      <w:marTop w:val="0"/>
      <w:marBottom w:val="0"/>
      <w:divBdr>
        <w:top w:val="none" w:sz="0" w:space="0" w:color="auto"/>
        <w:left w:val="none" w:sz="0" w:space="0" w:color="auto"/>
        <w:bottom w:val="none" w:sz="0" w:space="0" w:color="auto"/>
        <w:right w:val="none" w:sz="0" w:space="0" w:color="auto"/>
      </w:divBdr>
    </w:div>
    <w:div w:id="128997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4518</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Bhutani, Sahil</dc:creator>
  <cp:keywords/>
  <cp:lastModifiedBy>Iti Goyal</cp:lastModifiedBy>
  <cp:revision>32</cp:revision>
  <dcterms:created xsi:type="dcterms:W3CDTF">2026-01-27T13:00:00Z</dcterms:created>
  <dcterms:modified xsi:type="dcterms:W3CDTF">2026-03-09T12:05:00Z</dcterms:modified>
</cp:coreProperties>
</file>