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D2D9" w14:textId="2F36B7F5" w:rsidR="002E6945" w:rsidRDefault="002E6945" w:rsidP="002E6945">
      <w:pPr>
        <w:spacing w:after="0" w:line="259" w:lineRule="auto"/>
        <w:ind w:left="107" w:firstLine="0"/>
        <w:jc w:val="center"/>
      </w:pPr>
      <w:r>
        <w:rPr>
          <w:noProof/>
        </w:rPr>
        <w:drawing>
          <wp:inline distT="0" distB="0" distL="0" distR="0" wp14:anchorId="2B8B6FF4" wp14:editId="02273DA7">
            <wp:extent cx="850392" cy="576072"/>
            <wp:effectExtent l="0" t="0" r="0" b="0"/>
            <wp:docPr id="3008" name="Picture 3008"/>
            <wp:cNvGraphicFramePr/>
            <a:graphic xmlns:a="http://schemas.openxmlformats.org/drawingml/2006/main">
              <a:graphicData uri="http://schemas.openxmlformats.org/drawingml/2006/picture">
                <pic:pic xmlns:pic="http://schemas.openxmlformats.org/drawingml/2006/picture">
                  <pic:nvPicPr>
                    <pic:cNvPr id="3008" name="Picture 3008"/>
                    <pic:cNvPicPr/>
                  </pic:nvPicPr>
                  <pic:blipFill>
                    <a:blip r:embed="rId6"/>
                    <a:stretch>
                      <a:fillRect/>
                    </a:stretch>
                  </pic:blipFill>
                  <pic:spPr>
                    <a:xfrm>
                      <a:off x="0" y="0"/>
                      <a:ext cx="850392" cy="576072"/>
                    </a:xfrm>
                    <a:prstGeom prst="rect">
                      <a:avLst/>
                    </a:prstGeom>
                  </pic:spPr>
                </pic:pic>
              </a:graphicData>
            </a:graphic>
          </wp:inline>
        </w:drawing>
      </w:r>
      <w:r>
        <w:rPr>
          <w:b/>
          <w:sz w:val="32"/>
        </w:rPr>
        <w:t xml:space="preserve"> </w:t>
      </w:r>
    </w:p>
    <w:p w14:paraId="2B51AD2B" w14:textId="77777777" w:rsidR="002E6945" w:rsidRDefault="002E6945" w:rsidP="002E6945">
      <w:pPr>
        <w:spacing w:after="276" w:line="259" w:lineRule="auto"/>
        <w:ind w:left="58" w:firstLine="0"/>
        <w:jc w:val="center"/>
      </w:pPr>
      <w:r>
        <w:rPr>
          <w:b/>
        </w:rPr>
        <w:t xml:space="preserve"> </w:t>
      </w:r>
    </w:p>
    <w:p w14:paraId="776D1865" w14:textId="77777777" w:rsidR="002E6945" w:rsidRDefault="002E6945" w:rsidP="002E6945">
      <w:pPr>
        <w:spacing w:after="0" w:line="237" w:lineRule="auto"/>
        <w:ind w:left="0" w:firstLine="0"/>
        <w:jc w:val="center"/>
      </w:pPr>
      <w:r>
        <w:rPr>
          <w:b/>
          <w:sz w:val="56"/>
        </w:rPr>
        <w:t xml:space="preserve">SHARDA MOTOR INDUSTRIES LIMITED </w:t>
      </w:r>
    </w:p>
    <w:p w14:paraId="2F4DC95D" w14:textId="77777777" w:rsidR="002E6945" w:rsidRDefault="002E6945" w:rsidP="002E6945">
      <w:pPr>
        <w:spacing w:after="82" w:line="259" w:lineRule="auto"/>
        <w:ind w:left="0" w:firstLine="0"/>
        <w:jc w:val="left"/>
      </w:pPr>
      <w:r>
        <w:rPr>
          <w:b/>
          <w:sz w:val="32"/>
        </w:rPr>
        <w:t xml:space="preserve"> </w:t>
      </w:r>
    </w:p>
    <w:p w14:paraId="72119121" w14:textId="2E1FE1FE" w:rsidR="002E6945" w:rsidRDefault="004C4EE0" w:rsidP="004C4EE0">
      <w:pPr>
        <w:spacing w:after="0" w:line="259" w:lineRule="auto"/>
        <w:ind w:left="0" w:firstLine="0"/>
        <w:jc w:val="center"/>
      </w:pPr>
      <w:r w:rsidRPr="004C4EE0">
        <w:rPr>
          <w:b/>
          <w:sz w:val="44"/>
        </w:rPr>
        <w:t>Environmental, Health &amp; Safety Policy</w:t>
      </w:r>
    </w:p>
    <w:p w14:paraId="536BE62C" w14:textId="77777777" w:rsidR="004C6F95" w:rsidRDefault="004C6F95" w:rsidP="002E6945">
      <w:pPr>
        <w:spacing w:after="0" w:line="259" w:lineRule="auto"/>
        <w:ind w:left="117" w:firstLine="0"/>
        <w:jc w:val="center"/>
        <w:rPr>
          <w:b/>
          <w:sz w:val="36"/>
        </w:rPr>
      </w:pPr>
    </w:p>
    <w:p w14:paraId="54CFA7CF" w14:textId="4ABE91DE" w:rsidR="002E6945" w:rsidRDefault="002E6945" w:rsidP="002E6945">
      <w:pPr>
        <w:spacing w:after="214" w:line="259" w:lineRule="auto"/>
        <w:ind w:left="0" w:firstLine="0"/>
        <w:jc w:val="left"/>
      </w:pPr>
    </w:p>
    <w:tbl>
      <w:tblPr>
        <w:tblStyle w:val="TableGrid"/>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685"/>
      </w:tblGrid>
      <w:tr w:rsidR="004C4EE0" w:rsidRPr="00114172" w14:paraId="06253000" w14:textId="77777777" w:rsidTr="004C4EE0">
        <w:trPr>
          <w:trHeight w:val="288"/>
        </w:trPr>
        <w:tc>
          <w:tcPr>
            <w:tcW w:w="3969" w:type="dxa"/>
          </w:tcPr>
          <w:p w14:paraId="50C00BA9" w14:textId="77777777" w:rsidR="004C4EE0" w:rsidRPr="00114172" w:rsidRDefault="004C4EE0" w:rsidP="004C4EE0">
            <w:pPr>
              <w:spacing w:after="0" w:line="259" w:lineRule="auto"/>
              <w:ind w:left="137" w:firstLine="0"/>
              <w:jc w:val="left"/>
            </w:pPr>
            <w:r w:rsidRPr="00114172">
              <w:rPr>
                <w:b/>
              </w:rPr>
              <w:t xml:space="preserve">Date of First Approval </w:t>
            </w:r>
          </w:p>
        </w:tc>
        <w:tc>
          <w:tcPr>
            <w:tcW w:w="3685" w:type="dxa"/>
          </w:tcPr>
          <w:p w14:paraId="728C299C" w14:textId="77777777" w:rsidR="004C4EE0" w:rsidRPr="00114172" w:rsidRDefault="004C4EE0" w:rsidP="00614A7B">
            <w:pPr>
              <w:spacing w:after="0" w:line="259" w:lineRule="auto"/>
              <w:ind w:left="0" w:firstLine="0"/>
              <w:jc w:val="left"/>
            </w:pPr>
            <w:r>
              <w:t>22</w:t>
            </w:r>
            <w:r w:rsidRPr="00470D87">
              <w:rPr>
                <w:vertAlign w:val="superscript"/>
              </w:rPr>
              <w:t>nd</w:t>
            </w:r>
            <w:r>
              <w:t xml:space="preserve"> June, 2020</w:t>
            </w:r>
          </w:p>
        </w:tc>
      </w:tr>
      <w:tr w:rsidR="004C4EE0" w:rsidRPr="00114172" w14:paraId="565987A8" w14:textId="77777777" w:rsidTr="004C4EE0">
        <w:trPr>
          <w:trHeight w:val="288"/>
        </w:trPr>
        <w:tc>
          <w:tcPr>
            <w:tcW w:w="3969" w:type="dxa"/>
          </w:tcPr>
          <w:p w14:paraId="5BAF19E2" w14:textId="77777777" w:rsidR="004C4EE0" w:rsidRPr="00114172" w:rsidRDefault="004C4EE0" w:rsidP="004C4EE0">
            <w:pPr>
              <w:spacing w:after="0" w:line="259" w:lineRule="auto"/>
              <w:ind w:left="137" w:firstLine="0"/>
              <w:jc w:val="left"/>
            </w:pPr>
            <w:r w:rsidRPr="00114172">
              <w:rPr>
                <w:b/>
              </w:rPr>
              <w:t xml:space="preserve">Last Version </w:t>
            </w:r>
          </w:p>
        </w:tc>
        <w:tc>
          <w:tcPr>
            <w:tcW w:w="3685" w:type="dxa"/>
          </w:tcPr>
          <w:p w14:paraId="6780E18B" w14:textId="77777777" w:rsidR="004C4EE0" w:rsidRPr="00114172" w:rsidRDefault="004C4EE0" w:rsidP="00614A7B">
            <w:pPr>
              <w:spacing w:after="0" w:line="259" w:lineRule="auto"/>
              <w:ind w:left="0" w:firstLine="0"/>
              <w:jc w:val="left"/>
            </w:pPr>
            <w:r>
              <w:t>1.0</w:t>
            </w:r>
          </w:p>
        </w:tc>
      </w:tr>
      <w:tr w:rsidR="004C4EE0" w:rsidRPr="00114172" w14:paraId="4057F0ED" w14:textId="77777777" w:rsidTr="004C4EE0">
        <w:trPr>
          <w:trHeight w:val="283"/>
        </w:trPr>
        <w:tc>
          <w:tcPr>
            <w:tcW w:w="3969" w:type="dxa"/>
          </w:tcPr>
          <w:p w14:paraId="43B62307" w14:textId="77777777" w:rsidR="004C4EE0" w:rsidRPr="00114172" w:rsidRDefault="004C4EE0" w:rsidP="004C4EE0">
            <w:pPr>
              <w:spacing w:after="0" w:line="259" w:lineRule="auto"/>
              <w:ind w:left="137" w:firstLine="0"/>
              <w:jc w:val="left"/>
            </w:pPr>
            <w:r w:rsidRPr="00114172">
              <w:rPr>
                <w:b/>
              </w:rPr>
              <w:t xml:space="preserve">Current Version </w:t>
            </w:r>
          </w:p>
        </w:tc>
        <w:tc>
          <w:tcPr>
            <w:tcW w:w="3685" w:type="dxa"/>
          </w:tcPr>
          <w:p w14:paraId="3D6AAC12" w14:textId="77777777" w:rsidR="004C4EE0" w:rsidRPr="00114172" w:rsidRDefault="004C4EE0" w:rsidP="00614A7B">
            <w:pPr>
              <w:spacing w:after="0" w:line="259" w:lineRule="auto"/>
              <w:ind w:left="0" w:firstLine="0"/>
              <w:jc w:val="left"/>
            </w:pPr>
            <w:r>
              <w:t>2.0</w:t>
            </w:r>
          </w:p>
        </w:tc>
      </w:tr>
      <w:tr w:rsidR="004C4EE0" w:rsidRPr="00114172" w14:paraId="4D8ADA65" w14:textId="77777777" w:rsidTr="00897D6F">
        <w:trPr>
          <w:trHeight w:val="1112"/>
        </w:trPr>
        <w:tc>
          <w:tcPr>
            <w:tcW w:w="3969" w:type="dxa"/>
          </w:tcPr>
          <w:p w14:paraId="08C28B65" w14:textId="77777777" w:rsidR="004C4EE0" w:rsidRPr="00114172" w:rsidRDefault="004C4EE0" w:rsidP="004C4EE0">
            <w:pPr>
              <w:spacing w:after="0" w:line="259" w:lineRule="auto"/>
              <w:ind w:left="137" w:firstLine="0"/>
              <w:jc w:val="left"/>
            </w:pPr>
            <w:r w:rsidRPr="00114172">
              <w:rPr>
                <w:b/>
              </w:rPr>
              <w:t xml:space="preserve">Approved by the Board of Directors </w:t>
            </w:r>
          </w:p>
        </w:tc>
        <w:tc>
          <w:tcPr>
            <w:tcW w:w="3685" w:type="dxa"/>
          </w:tcPr>
          <w:p w14:paraId="4A161E07" w14:textId="52942C66" w:rsidR="004C4EE0" w:rsidRPr="00114172" w:rsidRDefault="004C4EE0" w:rsidP="00897D6F">
            <w:pPr>
              <w:spacing w:after="0" w:line="259" w:lineRule="auto"/>
              <w:ind w:left="0" w:firstLine="0"/>
              <w:jc w:val="left"/>
            </w:pPr>
            <w:r>
              <w:t>6</w:t>
            </w:r>
            <w:r w:rsidRPr="00470D87">
              <w:rPr>
                <w:vertAlign w:val="superscript"/>
              </w:rPr>
              <w:t>th</w:t>
            </w:r>
            <w:r>
              <w:t xml:space="preserve"> February, 2026</w:t>
            </w:r>
          </w:p>
        </w:tc>
      </w:tr>
    </w:tbl>
    <w:p w14:paraId="36EDE487" w14:textId="0CB82C4B" w:rsidR="004C4EE0" w:rsidRDefault="004C4EE0">
      <w:pPr>
        <w:pStyle w:val="Heading1"/>
        <w:ind w:right="9"/>
        <w:rPr>
          <w:b w:val="0"/>
        </w:rPr>
      </w:pPr>
    </w:p>
    <w:p w14:paraId="1087F75D" w14:textId="77777777" w:rsidR="004C4EE0" w:rsidRDefault="004C4EE0">
      <w:pPr>
        <w:spacing w:after="160" w:line="278" w:lineRule="auto"/>
        <w:ind w:left="0" w:right="0" w:firstLine="0"/>
        <w:jc w:val="left"/>
        <w:rPr>
          <w:sz w:val="31"/>
          <w:u w:val="single" w:color="000000"/>
        </w:rPr>
      </w:pPr>
      <w:r>
        <w:rPr>
          <w:b/>
        </w:rPr>
        <w:br w:type="page"/>
      </w:r>
    </w:p>
    <w:p w14:paraId="2167E300" w14:textId="77777777" w:rsidR="00ED753E" w:rsidRDefault="004E34A3">
      <w:pPr>
        <w:pStyle w:val="Heading1"/>
        <w:ind w:right="9"/>
      </w:pPr>
      <w:r>
        <w:lastRenderedPageBreak/>
        <w:t>Environment, Health &amp; Safety Policy</w:t>
      </w:r>
      <w:r>
        <w:rPr>
          <w:u w:val="none"/>
        </w:rPr>
        <w:t xml:space="preserve">  </w:t>
      </w:r>
    </w:p>
    <w:p w14:paraId="099C0DF5" w14:textId="77777777" w:rsidR="00C17291" w:rsidRDefault="00234AA5" w:rsidP="00C17291">
      <w:pPr>
        <w:spacing w:after="193"/>
        <w:ind w:left="0" w:right="0" w:firstLine="0"/>
        <w:rPr>
          <w:b/>
          <w:bCs/>
        </w:rPr>
      </w:pPr>
      <w:r w:rsidRPr="006035AE">
        <w:rPr>
          <w:b/>
          <w:bCs/>
        </w:rPr>
        <w:t>Purpose</w:t>
      </w:r>
      <w:r w:rsidR="00C17291">
        <w:rPr>
          <w:b/>
          <w:bCs/>
        </w:rPr>
        <w:t xml:space="preserve"> and Scope</w:t>
      </w:r>
    </w:p>
    <w:p w14:paraId="7D10E69F" w14:textId="2A7791FB" w:rsidR="00234AA5" w:rsidRDefault="009C1A81">
      <w:pPr>
        <w:spacing w:after="193"/>
        <w:ind w:left="0" w:right="0" w:firstLine="0"/>
      </w:pPr>
      <w:r w:rsidRPr="009C1A81">
        <w:t>Sharda Motor Industries Limited (“SMIL”)</w:t>
      </w:r>
      <w:r w:rsidR="00C17291">
        <w:t xml:space="preserve"> </w:t>
      </w:r>
      <w:r w:rsidR="00C17291" w:rsidRPr="00C17291">
        <w:t xml:space="preserve">strive for excellence in all endeavors while acknowledging </w:t>
      </w:r>
      <w:r w:rsidR="00C17291">
        <w:t>its</w:t>
      </w:r>
      <w:r w:rsidR="00C17291" w:rsidRPr="00C17291">
        <w:t xml:space="preserve"> impact on people and environment</w:t>
      </w:r>
      <w:r w:rsidRPr="009C1A81">
        <w:t>. This policy applies to all SMIL operations — manufacturing plants, offices, warehouses — and extends to employees, contractors, visitors, and business partners. Our goal is to embed EHS into every aspect of our business in pursuit of sustainable development and shared value for our communities.</w:t>
      </w:r>
    </w:p>
    <w:p w14:paraId="66A5411A" w14:textId="066DFFBD" w:rsidR="001F3206" w:rsidRPr="004C4EE0" w:rsidRDefault="001F3206" w:rsidP="001F3206">
      <w:pPr>
        <w:spacing w:after="193"/>
        <w:ind w:left="0" w:right="0" w:firstLine="0"/>
        <w:rPr>
          <w:b/>
          <w:bCs/>
        </w:rPr>
      </w:pPr>
      <w:r w:rsidRPr="004C4EE0">
        <w:rPr>
          <w:b/>
          <w:bCs/>
        </w:rPr>
        <w:t>Leadership Commitment</w:t>
      </w:r>
    </w:p>
    <w:p w14:paraId="6CBF705D" w14:textId="3E9FC760" w:rsidR="001F3206" w:rsidRDefault="001F3206" w:rsidP="001F3206">
      <w:pPr>
        <w:spacing w:after="193"/>
        <w:ind w:left="0" w:right="0" w:firstLine="0"/>
      </w:pPr>
      <w:r w:rsidRPr="00C60B77">
        <w:t>T</w:t>
      </w:r>
      <w:r>
        <w:t>he</w:t>
      </w:r>
      <w:r w:rsidRPr="00C60B77">
        <w:t xml:space="preserve"> management at SMIL is fully committed to the principle of “prevention first”: preventing pollution, workplace injuries, and occupational illnesses. We strive for “zero harm” in health, safety, and environmental performance and dedicate the necessary resources — people, time, and capital</w:t>
      </w:r>
      <w:r>
        <w:t xml:space="preserve"> </w:t>
      </w:r>
      <w:r w:rsidRPr="00C60B77">
        <w:t>to achieve this.</w:t>
      </w:r>
    </w:p>
    <w:p w14:paraId="6589E77B" w14:textId="3507C1BF" w:rsidR="005865D9" w:rsidRDefault="00246AD3">
      <w:pPr>
        <w:spacing w:after="193"/>
        <w:ind w:left="0" w:right="0" w:firstLine="0"/>
      </w:pPr>
      <w:r w:rsidRPr="00246AD3">
        <w:t>SMIL commits to comply with all applicable environmental, health, and safety laws and regulations</w:t>
      </w:r>
      <w:r w:rsidR="00C17291">
        <w:t>.</w:t>
      </w:r>
      <w:r w:rsidRPr="00246AD3">
        <w:t xml:space="preserve"> In addition, we aim to align our EHS management system with recognized international standards to ensure a robust and credible system.</w:t>
      </w:r>
    </w:p>
    <w:p w14:paraId="5770EA0A" w14:textId="4308A344" w:rsidR="0052799B" w:rsidRPr="004C4EE0" w:rsidRDefault="0052799B">
      <w:pPr>
        <w:spacing w:after="193"/>
        <w:ind w:left="0" w:right="0" w:firstLine="0"/>
        <w:rPr>
          <w:b/>
          <w:bCs/>
        </w:rPr>
      </w:pPr>
      <w:r w:rsidRPr="004C4EE0">
        <w:rPr>
          <w:b/>
          <w:bCs/>
        </w:rPr>
        <w:t>Risk Management</w:t>
      </w:r>
    </w:p>
    <w:p w14:paraId="6F5282AE" w14:textId="169448D0" w:rsidR="00B8379E" w:rsidRDefault="00C17291">
      <w:pPr>
        <w:spacing w:after="193"/>
        <w:ind w:left="0" w:right="0" w:firstLine="0"/>
      </w:pPr>
      <w:r>
        <w:t xml:space="preserve">SMIL </w:t>
      </w:r>
      <w:r w:rsidR="00B8379E" w:rsidRPr="00B8379E">
        <w:t>employ a formal risk‑assessment framework to identify, evaluate, and manage EHS risks. This includes Hazard Identification and Risk Assessment (HIRA), and emergency‑response planning. We apply a controls hierarchy — elimination, substitution, engineering, administrative, and personal protective equipment — to minimize risks. Near-miss reporting and proactive hazard identification are encouraged across the organization.</w:t>
      </w:r>
    </w:p>
    <w:p w14:paraId="68901D99" w14:textId="1F0BCDEE" w:rsidR="00C17291" w:rsidRPr="00C17291" w:rsidRDefault="00C17291">
      <w:pPr>
        <w:spacing w:after="229"/>
        <w:ind w:left="0" w:right="0" w:firstLine="0"/>
        <w:rPr>
          <w:b/>
          <w:bCs/>
        </w:rPr>
      </w:pPr>
      <w:r w:rsidRPr="00C17291">
        <w:rPr>
          <w:b/>
          <w:bCs/>
        </w:rPr>
        <w:t>Commitments</w:t>
      </w:r>
    </w:p>
    <w:p w14:paraId="1C8A4F94" w14:textId="51BA064A" w:rsidR="00ED753E" w:rsidRDefault="004E34A3">
      <w:pPr>
        <w:spacing w:after="229"/>
        <w:ind w:left="0" w:right="0" w:firstLine="0"/>
      </w:pPr>
      <w:r>
        <w:t xml:space="preserve">In particular, SMIL is committed to: </w:t>
      </w:r>
    </w:p>
    <w:p w14:paraId="011BAE2C" w14:textId="77777777" w:rsidR="00ED753E" w:rsidRDefault="004E34A3">
      <w:pPr>
        <w:numPr>
          <w:ilvl w:val="0"/>
          <w:numId w:val="1"/>
        </w:numPr>
        <w:ind w:right="0" w:hanging="350"/>
      </w:pPr>
      <w:r>
        <w:t>Comply with all applicable laws, regulations and conditions granted in environmental and forest clearances.</w:t>
      </w:r>
    </w:p>
    <w:p w14:paraId="1DF57373" w14:textId="77777777" w:rsidR="00ED753E" w:rsidRDefault="004E34A3">
      <w:pPr>
        <w:numPr>
          <w:ilvl w:val="0"/>
          <w:numId w:val="1"/>
        </w:numPr>
        <w:ind w:right="0" w:hanging="350"/>
      </w:pPr>
      <w:r>
        <w:t>Manufacturing &amp; Supply of all its products including Complete Exhaust System and Catalytic Converter Assemblies by Protecting Environment and Enhancing Environmental Performance</w:t>
      </w:r>
    </w:p>
    <w:p w14:paraId="6C5AD5B9" w14:textId="77777777" w:rsidR="00ED753E" w:rsidRDefault="004E34A3">
      <w:pPr>
        <w:numPr>
          <w:ilvl w:val="0"/>
          <w:numId w:val="1"/>
        </w:numPr>
        <w:ind w:right="0" w:hanging="350"/>
      </w:pPr>
      <w:r>
        <w:t>Prevention of Pollution and Minimizing OH&amp;S Risks through Hazard Elimination</w:t>
      </w:r>
    </w:p>
    <w:p w14:paraId="73C60278" w14:textId="5A0AD3F7" w:rsidR="00ED753E" w:rsidRDefault="004E34A3">
      <w:pPr>
        <w:numPr>
          <w:ilvl w:val="0"/>
          <w:numId w:val="1"/>
        </w:numPr>
        <w:ind w:right="0" w:hanging="350"/>
      </w:pPr>
      <w:r>
        <w:t xml:space="preserve">Provide Safe and Healthy Working Conditions for the Prevention of </w:t>
      </w:r>
      <w:r w:rsidR="00C17291">
        <w:t>Work-Related</w:t>
      </w:r>
      <w:r>
        <w:t xml:space="preserve"> Injury and </w:t>
      </w:r>
      <w:r w:rsidR="00140FF5">
        <w:t>Ill</w:t>
      </w:r>
      <w:r>
        <w:t xml:space="preserve"> Health</w:t>
      </w:r>
    </w:p>
    <w:p w14:paraId="0E59992D" w14:textId="77777777" w:rsidR="00ED753E" w:rsidRDefault="004E34A3">
      <w:pPr>
        <w:numPr>
          <w:ilvl w:val="0"/>
          <w:numId w:val="1"/>
        </w:numPr>
        <w:ind w:right="0" w:hanging="350"/>
      </w:pPr>
      <w:r>
        <w:t>Conservation of Natural Resources like Water, Land, Air &amp; Power</w:t>
      </w:r>
    </w:p>
    <w:p w14:paraId="1E561643" w14:textId="77777777" w:rsidR="00ED753E" w:rsidRDefault="004E34A3">
      <w:pPr>
        <w:numPr>
          <w:ilvl w:val="0"/>
          <w:numId w:val="1"/>
        </w:numPr>
        <w:ind w:right="0" w:hanging="350"/>
      </w:pPr>
      <w:r>
        <w:t>Handling of Waste, Accident Reduction, Miss Identification and Greenery Development</w:t>
      </w:r>
    </w:p>
    <w:p w14:paraId="67A0C3AE" w14:textId="77777777" w:rsidR="00ED753E" w:rsidRDefault="004E34A3">
      <w:pPr>
        <w:numPr>
          <w:ilvl w:val="0"/>
          <w:numId w:val="1"/>
        </w:numPr>
        <w:ind w:right="0" w:hanging="350"/>
      </w:pPr>
      <w:r>
        <w:t>Identifying and Ensuring the Compliance Obligations, Legal and Other Requirements</w:t>
      </w:r>
    </w:p>
    <w:p w14:paraId="1D7FE505" w14:textId="77777777" w:rsidR="00ED753E" w:rsidRDefault="004E34A3">
      <w:pPr>
        <w:numPr>
          <w:ilvl w:val="0"/>
          <w:numId w:val="1"/>
        </w:numPr>
        <w:ind w:right="0" w:hanging="350"/>
      </w:pPr>
      <w:r>
        <w:t>Consultation and Participation of Workers in Environment Health Safety (EHS) Activities through Safety Committee</w:t>
      </w:r>
    </w:p>
    <w:p w14:paraId="4E81BF7E" w14:textId="77777777" w:rsidR="00ED753E" w:rsidRDefault="004E34A3">
      <w:pPr>
        <w:numPr>
          <w:ilvl w:val="0"/>
          <w:numId w:val="1"/>
        </w:numPr>
        <w:ind w:right="0" w:hanging="350"/>
      </w:pPr>
      <w:r>
        <w:t>Communication of the Environment Health Safety Policies for Employees and Relevant Interested Parties through Training, thus Promoting EHS Culture. Continually Improve the Effectiveness of the EHS Management System</w:t>
      </w:r>
    </w:p>
    <w:p w14:paraId="629C13F9" w14:textId="77777777" w:rsidR="00ED753E" w:rsidRDefault="004E34A3">
      <w:pPr>
        <w:numPr>
          <w:ilvl w:val="0"/>
          <w:numId w:val="1"/>
        </w:numPr>
        <w:ind w:right="0" w:hanging="350"/>
      </w:pPr>
      <w:r>
        <w:lastRenderedPageBreak/>
        <w:t>Maximize recycle to reduce wastes, discharges and emissions.</w:t>
      </w:r>
    </w:p>
    <w:p w14:paraId="18B71113" w14:textId="77777777" w:rsidR="00ED753E" w:rsidRDefault="004E34A3">
      <w:pPr>
        <w:numPr>
          <w:ilvl w:val="0"/>
          <w:numId w:val="1"/>
        </w:numPr>
        <w:ind w:right="0" w:hanging="350"/>
      </w:pPr>
      <w:r>
        <w:t>Tree plantation, green surrounding at our Plant locations.</w:t>
      </w:r>
    </w:p>
    <w:p w14:paraId="4216C2AB" w14:textId="77777777" w:rsidR="00ED753E" w:rsidRDefault="004E34A3">
      <w:pPr>
        <w:numPr>
          <w:ilvl w:val="0"/>
          <w:numId w:val="1"/>
        </w:numPr>
        <w:ind w:right="0" w:hanging="350"/>
      </w:pPr>
      <w:r>
        <w:t>Training and awareness on environmental systems, procedures, and on shared responsibility towards environmental protection among employees, contractors, suppliers and customers.</w:t>
      </w:r>
    </w:p>
    <w:p w14:paraId="7E36FFDF" w14:textId="77777777" w:rsidR="00ED753E" w:rsidRDefault="004E34A3">
      <w:pPr>
        <w:numPr>
          <w:ilvl w:val="0"/>
          <w:numId w:val="1"/>
        </w:numPr>
        <w:ind w:right="0" w:hanging="350"/>
      </w:pPr>
      <w:r>
        <w:t>Optimum Utilization of natural and manmade resources and sustainability of resources by reducing, reusing, recycling and managing waste.</w:t>
      </w:r>
    </w:p>
    <w:p w14:paraId="1F03017B" w14:textId="77777777" w:rsidR="00ED753E" w:rsidRDefault="004E34A3">
      <w:pPr>
        <w:numPr>
          <w:ilvl w:val="0"/>
          <w:numId w:val="1"/>
        </w:numPr>
        <w:ind w:right="0" w:hanging="350"/>
      </w:pPr>
      <w:r>
        <w:t>Benefits of commercialization of biological and other natural resources and associated traditional knowledge are shared equitably.</w:t>
      </w:r>
    </w:p>
    <w:p w14:paraId="515C7BB6" w14:textId="77777777" w:rsidR="00ED753E" w:rsidRDefault="004E34A3">
      <w:pPr>
        <w:numPr>
          <w:ilvl w:val="0"/>
          <w:numId w:val="1"/>
        </w:numPr>
        <w:ind w:right="0" w:hanging="350"/>
      </w:pPr>
      <w:r>
        <w:t>Improving the environmental performance by adopting cleaner production methods, promoting use of energy efficient and environment friendly technologies and use of renewable energy.</w:t>
      </w:r>
    </w:p>
    <w:p w14:paraId="2E83A289" w14:textId="77777777" w:rsidR="00C17291" w:rsidRDefault="004E34A3" w:rsidP="00C17291">
      <w:pPr>
        <w:numPr>
          <w:ilvl w:val="0"/>
          <w:numId w:val="1"/>
        </w:numPr>
        <w:spacing w:after="1377"/>
        <w:ind w:right="0" w:hanging="350"/>
      </w:pPr>
      <w:r>
        <w:t>Businesses should Report the Environmental performance to the stakeholders in a fair and transparent manner.</w:t>
      </w:r>
    </w:p>
    <w:p w14:paraId="14B1CAF1" w14:textId="0AFF2B94" w:rsidR="00B32093" w:rsidRPr="00C17291" w:rsidRDefault="00545254" w:rsidP="00C17291">
      <w:pPr>
        <w:spacing w:after="1377"/>
        <w:ind w:left="0" w:right="0" w:firstLine="0"/>
      </w:pPr>
      <w:r w:rsidRPr="00C17291">
        <w:rPr>
          <w:b/>
          <w:bCs/>
        </w:rPr>
        <w:t>Review and Update</w:t>
      </w:r>
      <w:r w:rsidR="00B32093" w:rsidRPr="00C17291">
        <w:rPr>
          <w:b/>
          <w:bCs/>
        </w:rPr>
        <w:t xml:space="preserve">: This policy shall be reviewed </w:t>
      </w:r>
      <w:r w:rsidR="006035AE" w:rsidRPr="00C17291">
        <w:rPr>
          <w:b/>
          <w:bCs/>
        </w:rPr>
        <w:t xml:space="preserve">as and when required </w:t>
      </w:r>
      <w:r w:rsidR="00B32093" w:rsidRPr="00C17291">
        <w:rPr>
          <w:b/>
          <w:bCs/>
        </w:rPr>
        <w:t xml:space="preserve">and updated in response to major incidents, changes in legislation, emerging risks, new technology, or evolving business strategy. </w:t>
      </w:r>
    </w:p>
    <w:p w14:paraId="5D45A218" w14:textId="77777777" w:rsidR="00ED753E" w:rsidRDefault="004E34A3">
      <w:pPr>
        <w:spacing w:after="0" w:line="259" w:lineRule="auto"/>
        <w:ind w:left="0" w:right="21" w:firstLine="0"/>
        <w:jc w:val="center"/>
      </w:pPr>
      <w:r>
        <w:rPr>
          <w:rFonts w:ascii="Arial" w:eastAsia="Arial" w:hAnsi="Arial" w:cs="Arial"/>
          <w:sz w:val="16"/>
        </w:rPr>
        <w:t>R 1</w:t>
      </w:r>
    </w:p>
    <w:sectPr w:rsidR="00ED753E">
      <w:pgSz w:w="11900" w:h="16840"/>
      <w:pgMar w:top="1440" w:right="1380" w:bottom="1440"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6B7"/>
    <w:multiLevelType w:val="hybridMultilevel"/>
    <w:tmpl w:val="5BE61588"/>
    <w:lvl w:ilvl="0" w:tplc="72EAF452">
      <w:start w:val="1"/>
      <w:numFmt w:val="bullet"/>
      <w:lvlText w:val=""/>
      <w:lvlJc w:val="left"/>
      <w:pPr>
        <w:ind w:left="74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A524E994">
      <w:start w:val="1"/>
      <w:numFmt w:val="bullet"/>
      <w:lvlText w:val="o"/>
      <w:lvlJc w:val="left"/>
      <w:pPr>
        <w:ind w:left="14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7D7EB7BE">
      <w:start w:val="1"/>
      <w:numFmt w:val="bullet"/>
      <w:lvlText w:val="▪"/>
      <w:lvlJc w:val="left"/>
      <w:pPr>
        <w:ind w:left="221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162E8FE">
      <w:start w:val="1"/>
      <w:numFmt w:val="bullet"/>
      <w:lvlText w:val="•"/>
      <w:lvlJc w:val="left"/>
      <w:pPr>
        <w:ind w:left="293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3602A94">
      <w:start w:val="1"/>
      <w:numFmt w:val="bullet"/>
      <w:lvlText w:val="o"/>
      <w:lvlJc w:val="left"/>
      <w:pPr>
        <w:ind w:left="365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FD7C0986">
      <w:start w:val="1"/>
      <w:numFmt w:val="bullet"/>
      <w:lvlText w:val="▪"/>
      <w:lvlJc w:val="left"/>
      <w:pPr>
        <w:ind w:left="437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9BA8EF12">
      <w:start w:val="1"/>
      <w:numFmt w:val="bullet"/>
      <w:lvlText w:val="•"/>
      <w:lvlJc w:val="left"/>
      <w:pPr>
        <w:ind w:left="50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404AB29A">
      <w:start w:val="1"/>
      <w:numFmt w:val="bullet"/>
      <w:lvlText w:val="o"/>
      <w:lvlJc w:val="left"/>
      <w:pPr>
        <w:ind w:left="581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34AC197A">
      <w:start w:val="1"/>
      <w:numFmt w:val="bullet"/>
      <w:lvlText w:val="▪"/>
      <w:lvlJc w:val="left"/>
      <w:pPr>
        <w:ind w:left="653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num w:numId="1" w16cid:durableId="85067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3E"/>
    <w:rsid w:val="001104DA"/>
    <w:rsid w:val="00140FF5"/>
    <w:rsid w:val="001D7883"/>
    <w:rsid w:val="001F3206"/>
    <w:rsid w:val="00234AA5"/>
    <w:rsid w:val="00246AD3"/>
    <w:rsid w:val="002E6945"/>
    <w:rsid w:val="0039717A"/>
    <w:rsid w:val="00464470"/>
    <w:rsid w:val="004B69E2"/>
    <w:rsid w:val="004C4EE0"/>
    <w:rsid w:val="004C6F95"/>
    <w:rsid w:val="0052799B"/>
    <w:rsid w:val="00545254"/>
    <w:rsid w:val="005865D9"/>
    <w:rsid w:val="006035AE"/>
    <w:rsid w:val="00677E1B"/>
    <w:rsid w:val="00897D6F"/>
    <w:rsid w:val="008B5610"/>
    <w:rsid w:val="008E0329"/>
    <w:rsid w:val="009419E3"/>
    <w:rsid w:val="009C1A81"/>
    <w:rsid w:val="00A570A5"/>
    <w:rsid w:val="00B32093"/>
    <w:rsid w:val="00B8379E"/>
    <w:rsid w:val="00BE24AB"/>
    <w:rsid w:val="00C17291"/>
    <w:rsid w:val="00C60B77"/>
    <w:rsid w:val="00ED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3062"/>
  <w15:docId w15:val="{7308DC44-D56A-463A-962F-1402D522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71" w:lineRule="auto"/>
      <w:ind w:left="360" w:right="2" w:hanging="36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41" w:line="259" w:lineRule="auto"/>
      <w:ind w:left="10" w:right="1" w:hanging="10"/>
      <w:jc w:val="center"/>
      <w:outlineLvl w:val="0"/>
    </w:pPr>
    <w:rPr>
      <w:rFonts w:ascii="Times New Roman" w:eastAsia="Times New Roman" w:hAnsi="Times New Roman" w:cs="Times New Roman"/>
      <w:b/>
      <w:color w:val="000000"/>
      <w:sz w:val="31"/>
      <w:u w:val="single" w:color="000000"/>
    </w:rPr>
  </w:style>
  <w:style w:type="paragraph" w:styleId="Heading2">
    <w:name w:val="heading 2"/>
    <w:basedOn w:val="Normal"/>
    <w:next w:val="Normal"/>
    <w:link w:val="Heading2Char"/>
    <w:uiPriority w:val="9"/>
    <w:unhideWhenUsed/>
    <w:qFormat/>
    <w:rsid w:val="00234AA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1"/>
      <w:u w:val="single" w:color="000000"/>
    </w:rPr>
  </w:style>
  <w:style w:type="character" w:styleId="CommentReference">
    <w:name w:val="annotation reference"/>
    <w:basedOn w:val="DefaultParagraphFont"/>
    <w:uiPriority w:val="99"/>
    <w:semiHidden/>
    <w:unhideWhenUsed/>
    <w:rsid w:val="002E6945"/>
    <w:rPr>
      <w:sz w:val="16"/>
      <w:szCs w:val="16"/>
    </w:rPr>
  </w:style>
  <w:style w:type="paragraph" w:styleId="CommentText">
    <w:name w:val="annotation text"/>
    <w:basedOn w:val="Normal"/>
    <w:link w:val="CommentTextChar"/>
    <w:uiPriority w:val="99"/>
    <w:unhideWhenUsed/>
    <w:rsid w:val="002E6945"/>
    <w:pPr>
      <w:spacing w:after="281" w:line="240" w:lineRule="auto"/>
      <w:ind w:left="10" w:right="0" w:hanging="10"/>
    </w:pPr>
    <w:rPr>
      <w:sz w:val="20"/>
      <w:szCs w:val="20"/>
    </w:rPr>
  </w:style>
  <w:style w:type="character" w:customStyle="1" w:styleId="CommentTextChar">
    <w:name w:val="Comment Text Char"/>
    <w:basedOn w:val="DefaultParagraphFont"/>
    <w:link w:val="CommentText"/>
    <w:uiPriority w:val="99"/>
    <w:rsid w:val="002E6945"/>
    <w:rPr>
      <w:rFonts w:ascii="Times New Roman" w:eastAsia="Times New Roman" w:hAnsi="Times New Roman" w:cs="Times New Roman"/>
      <w:color w:val="000000"/>
      <w:sz w:val="20"/>
      <w:szCs w:val="20"/>
    </w:rPr>
  </w:style>
  <w:style w:type="paragraph" w:styleId="Revision">
    <w:name w:val="Revision"/>
    <w:hidden/>
    <w:uiPriority w:val="99"/>
    <w:semiHidden/>
    <w:rsid w:val="002E6945"/>
    <w:pPr>
      <w:spacing w:after="0" w:line="240" w:lineRule="auto"/>
    </w:pPr>
    <w:rPr>
      <w:rFonts w:ascii="Times New Roman" w:eastAsia="Times New Roman" w:hAnsi="Times New Roman" w:cs="Times New Roman"/>
      <w:color w:val="000000"/>
      <w:sz w:val="23"/>
    </w:rPr>
  </w:style>
  <w:style w:type="table" w:customStyle="1" w:styleId="TableGrid">
    <w:name w:val="TableGrid"/>
    <w:rsid w:val="002E6945"/>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34AA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1049-BF61-474D-932B-876CEC07172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74</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Bhutani, Sahil</dc:creator>
  <cp:keywords/>
  <cp:lastModifiedBy>Iti Goyal</cp:lastModifiedBy>
  <cp:revision>22</cp:revision>
  <dcterms:created xsi:type="dcterms:W3CDTF">2026-01-27T08:18:00Z</dcterms:created>
  <dcterms:modified xsi:type="dcterms:W3CDTF">2026-03-10T05:54:00Z</dcterms:modified>
</cp:coreProperties>
</file>