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40F86" w14:textId="1766F7D4" w:rsidR="00893BF4" w:rsidRDefault="00B5638F">
      <w:pPr>
        <w:spacing w:after="50" w:line="259" w:lineRule="auto"/>
        <w:ind w:left="58" w:firstLine="0"/>
        <w:jc w:val="center"/>
      </w:pPr>
      <w:r>
        <w:t xml:space="preserve"> </w:t>
      </w:r>
    </w:p>
    <w:p w14:paraId="1EE484D0" w14:textId="77777777" w:rsidR="00893BF4" w:rsidRDefault="00B5638F">
      <w:pPr>
        <w:spacing w:after="0" w:line="259" w:lineRule="auto"/>
        <w:ind w:left="78" w:firstLine="0"/>
        <w:jc w:val="center"/>
      </w:pPr>
      <w:r>
        <w:rPr>
          <w:b/>
          <w:sz w:val="32"/>
        </w:rPr>
        <w:t xml:space="preserve"> </w:t>
      </w:r>
    </w:p>
    <w:p w14:paraId="3FC7E013" w14:textId="77777777" w:rsidR="00893BF4" w:rsidRDefault="00B5638F">
      <w:pPr>
        <w:spacing w:after="0" w:line="259" w:lineRule="auto"/>
        <w:ind w:left="78" w:firstLine="0"/>
        <w:jc w:val="center"/>
      </w:pPr>
      <w:r>
        <w:rPr>
          <w:b/>
          <w:sz w:val="32"/>
        </w:rPr>
        <w:t xml:space="preserve"> </w:t>
      </w:r>
    </w:p>
    <w:p w14:paraId="71EC21CD" w14:textId="77777777" w:rsidR="00893BF4" w:rsidRDefault="00B5638F">
      <w:pPr>
        <w:spacing w:after="0" w:line="259" w:lineRule="auto"/>
        <w:ind w:left="78" w:firstLine="0"/>
        <w:jc w:val="center"/>
      </w:pPr>
      <w:r>
        <w:rPr>
          <w:b/>
          <w:sz w:val="32"/>
        </w:rPr>
        <w:t xml:space="preserve"> </w:t>
      </w:r>
    </w:p>
    <w:p w14:paraId="0AD99AB4" w14:textId="77777777" w:rsidR="00893BF4" w:rsidRDefault="00B5638F">
      <w:pPr>
        <w:spacing w:after="0" w:line="259" w:lineRule="auto"/>
        <w:ind w:left="78" w:firstLine="0"/>
        <w:jc w:val="center"/>
      </w:pPr>
      <w:r>
        <w:rPr>
          <w:b/>
          <w:sz w:val="32"/>
        </w:rPr>
        <w:t xml:space="preserve"> </w:t>
      </w:r>
    </w:p>
    <w:p w14:paraId="5910AE27" w14:textId="77777777" w:rsidR="00893BF4" w:rsidRDefault="00B5638F">
      <w:pPr>
        <w:spacing w:after="0" w:line="259" w:lineRule="auto"/>
        <w:ind w:left="78" w:firstLine="0"/>
        <w:jc w:val="center"/>
      </w:pPr>
      <w:r>
        <w:rPr>
          <w:b/>
          <w:sz w:val="32"/>
        </w:rPr>
        <w:t xml:space="preserve"> </w:t>
      </w:r>
    </w:p>
    <w:p w14:paraId="6FF5E1EF" w14:textId="77777777" w:rsidR="00893BF4" w:rsidRDefault="00B5638F">
      <w:pPr>
        <w:spacing w:after="0" w:line="259" w:lineRule="auto"/>
        <w:ind w:left="78" w:firstLine="0"/>
        <w:jc w:val="center"/>
      </w:pPr>
      <w:r>
        <w:rPr>
          <w:b/>
          <w:sz w:val="32"/>
        </w:rPr>
        <w:t xml:space="preserve"> </w:t>
      </w:r>
    </w:p>
    <w:p w14:paraId="46E990E0" w14:textId="77777777" w:rsidR="00893BF4" w:rsidRDefault="00B5638F">
      <w:pPr>
        <w:spacing w:after="0" w:line="259" w:lineRule="auto"/>
        <w:ind w:left="78" w:firstLine="0"/>
        <w:jc w:val="center"/>
      </w:pPr>
      <w:r>
        <w:rPr>
          <w:b/>
          <w:sz w:val="32"/>
        </w:rPr>
        <w:t xml:space="preserve"> </w:t>
      </w:r>
    </w:p>
    <w:p w14:paraId="0967AF61" w14:textId="77777777" w:rsidR="00893BF4" w:rsidRDefault="00B5638F">
      <w:pPr>
        <w:spacing w:after="0" w:line="259" w:lineRule="auto"/>
        <w:ind w:left="107" w:firstLine="0"/>
        <w:jc w:val="center"/>
      </w:pPr>
      <w:r>
        <w:rPr>
          <w:noProof/>
        </w:rPr>
        <w:drawing>
          <wp:inline distT="0" distB="0" distL="0" distR="0" wp14:anchorId="295EA6F9" wp14:editId="2F385921">
            <wp:extent cx="850392" cy="576072"/>
            <wp:effectExtent l="0" t="0" r="0" b="0"/>
            <wp:docPr id="3008" name="Picture 3008"/>
            <wp:cNvGraphicFramePr/>
            <a:graphic xmlns:a="http://schemas.openxmlformats.org/drawingml/2006/main">
              <a:graphicData uri="http://schemas.openxmlformats.org/drawingml/2006/picture">
                <pic:pic xmlns:pic="http://schemas.openxmlformats.org/drawingml/2006/picture">
                  <pic:nvPicPr>
                    <pic:cNvPr id="3008" name="Picture 3008"/>
                    <pic:cNvPicPr/>
                  </pic:nvPicPr>
                  <pic:blipFill>
                    <a:blip r:embed="rId8"/>
                    <a:stretch>
                      <a:fillRect/>
                    </a:stretch>
                  </pic:blipFill>
                  <pic:spPr>
                    <a:xfrm>
                      <a:off x="0" y="0"/>
                      <a:ext cx="850392" cy="576072"/>
                    </a:xfrm>
                    <a:prstGeom prst="rect">
                      <a:avLst/>
                    </a:prstGeom>
                  </pic:spPr>
                </pic:pic>
              </a:graphicData>
            </a:graphic>
          </wp:inline>
        </w:drawing>
      </w:r>
      <w:r>
        <w:rPr>
          <w:b/>
          <w:sz w:val="32"/>
        </w:rPr>
        <w:t xml:space="preserve"> </w:t>
      </w:r>
    </w:p>
    <w:p w14:paraId="69BFD315" w14:textId="77777777" w:rsidR="00893BF4" w:rsidRDefault="00B5638F">
      <w:pPr>
        <w:spacing w:after="276" w:line="259" w:lineRule="auto"/>
        <w:ind w:left="58" w:firstLine="0"/>
        <w:jc w:val="center"/>
      </w:pPr>
      <w:r>
        <w:rPr>
          <w:b/>
        </w:rPr>
        <w:t xml:space="preserve"> </w:t>
      </w:r>
    </w:p>
    <w:p w14:paraId="7F11CB54" w14:textId="77777777" w:rsidR="00893BF4" w:rsidRDefault="00B5638F">
      <w:pPr>
        <w:spacing w:after="0" w:line="237" w:lineRule="auto"/>
        <w:ind w:left="0" w:firstLine="0"/>
        <w:jc w:val="center"/>
      </w:pPr>
      <w:r>
        <w:rPr>
          <w:b/>
          <w:sz w:val="56"/>
        </w:rPr>
        <w:t xml:space="preserve">SHARDA MOTOR INDUSTRIES LIMITED </w:t>
      </w:r>
    </w:p>
    <w:p w14:paraId="68B25BA3" w14:textId="77777777" w:rsidR="00893BF4" w:rsidRDefault="00B5638F">
      <w:pPr>
        <w:spacing w:after="82" w:line="259" w:lineRule="auto"/>
        <w:ind w:left="0" w:firstLine="0"/>
        <w:jc w:val="left"/>
      </w:pPr>
      <w:r>
        <w:rPr>
          <w:b/>
          <w:sz w:val="32"/>
        </w:rPr>
        <w:t xml:space="preserve"> </w:t>
      </w:r>
    </w:p>
    <w:p w14:paraId="1D725B73" w14:textId="77777777" w:rsidR="00893BF4" w:rsidRDefault="00B5638F">
      <w:pPr>
        <w:spacing w:after="0" w:line="259" w:lineRule="auto"/>
        <w:ind w:left="0" w:right="5" w:firstLine="0"/>
        <w:jc w:val="center"/>
      </w:pPr>
      <w:r>
        <w:rPr>
          <w:b/>
          <w:sz w:val="44"/>
        </w:rPr>
        <w:t xml:space="preserve">SMIL ARCHIVAL POLICY </w:t>
      </w:r>
    </w:p>
    <w:p w14:paraId="472B1F72" w14:textId="77777777" w:rsidR="00893BF4" w:rsidRDefault="00B5638F">
      <w:pPr>
        <w:spacing w:after="0" w:line="259" w:lineRule="auto"/>
        <w:ind w:left="0" w:firstLine="0"/>
        <w:jc w:val="left"/>
      </w:pPr>
      <w:r>
        <w:rPr>
          <w:b/>
          <w:i/>
          <w:sz w:val="36"/>
        </w:rPr>
        <w:t xml:space="preserve"> </w:t>
      </w:r>
    </w:p>
    <w:p w14:paraId="5C623BFE" w14:textId="77777777" w:rsidR="00893BF4" w:rsidRDefault="00B5638F">
      <w:pPr>
        <w:spacing w:after="0" w:line="259" w:lineRule="auto"/>
        <w:ind w:left="0" w:right="444" w:firstLine="0"/>
        <w:jc w:val="right"/>
      </w:pPr>
      <w:r>
        <w:rPr>
          <w:b/>
          <w:i/>
        </w:rPr>
        <w:t xml:space="preserve">[In terms of Regulation 30 (8) of the Securities and Exchange Board of India (Listing </w:t>
      </w:r>
    </w:p>
    <w:p w14:paraId="3FA46879" w14:textId="77777777" w:rsidR="00893BF4" w:rsidRDefault="00B5638F">
      <w:pPr>
        <w:spacing w:after="4" w:line="266" w:lineRule="auto"/>
        <w:ind w:left="1623"/>
      </w:pPr>
      <w:r>
        <w:rPr>
          <w:b/>
          <w:i/>
        </w:rPr>
        <w:t xml:space="preserve">Obligations and Disclosure Requirements) Regulations, 2015]  </w:t>
      </w:r>
    </w:p>
    <w:p w14:paraId="2148C4B3" w14:textId="77777777" w:rsidR="00893BF4" w:rsidRDefault="00B5638F">
      <w:pPr>
        <w:spacing w:after="200" w:line="259" w:lineRule="auto"/>
        <w:ind w:left="18" w:firstLine="0"/>
        <w:jc w:val="center"/>
      </w:pPr>
      <w:r>
        <w:rPr>
          <w:b/>
          <w:i/>
          <w:sz w:val="8"/>
        </w:rPr>
        <w:t xml:space="preserve"> </w:t>
      </w:r>
    </w:p>
    <w:p w14:paraId="7FAEB93A" w14:textId="77777777" w:rsidR="00893BF4" w:rsidRDefault="00B5638F">
      <w:pPr>
        <w:spacing w:after="368" w:line="259" w:lineRule="auto"/>
        <w:ind w:left="18" w:firstLine="0"/>
        <w:jc w:val="center"/>
      </w:pPr>
      <w:r>
        <w:rPr>
          <w:b/>
          <w:i/>
          <w:sz w:val="8"/>
        </w:rPr>
        <w:t xml:space="preserve"> </w:t>
      </w:r>
    </w:p>
    <w:p w14:paraId="6D04DABB" w14:textId="55F2C863" w:rsidR="00893BF4" w:rsidRDefault="00B5638F">
      <w:pPr>
        <w:spacing w:after="250" w:line="259" w:lineRule="auto"/>
        <w:ind w:left="1824" w:firstLine="0"/>
        <w:jc w:val="left"/>
      </w:pPr>
      <w:r>
        <w:rPr>
          <w:b/>
          <w:sz w:val="22"/>
        </w:rPr>
        <w:t xml:space="preserve">[Approved by the Board of Directors on </w:t>
      </w:r>
      <w:r w:rsidR="006D5CDC">
        <w:rPr>
          <w:b/>
          <w:sz w:val="22"/>
        </w:rPr>
        <w:t>06</w:t>
      </w:r>
      <w:r>
        <w:rPr>
          <w:b/>
          <w:sz w:val="22"/>
          <w:vertAlign w:val="superscript"/>
        </w:rPr>
        <w:t>th</w:t>
      </w:r>
      <w:r>
        <w:rPr>
          <w:b/>
          <w:sz w:val="22"/>
        </w:rPr>
        <w:t xml:space="preserve"> </w:t>
      </w:r>
      <w:r w:rsidR="006D5CDC">
        <w:rPr>
          <w:b/>
          <w:sz w:val="22"/>
        </w:rPr>
        <w:t xml:space="preserve">February’ </w:t>
      </w:r>
      <w:r>
        <w:rPr>
          <w:b/>
          <w:sz w:val="22"/>
        </w:rPr>
        <w:t>20</w:t>
      </w:r>
      <w:r w:rsidR="00AF3BD5">
        <w:rPr>
          <w:b/>
          <w:sz w:val="22"/>
        </w:rPr>
        <w:t>26</w:t>
      </w:r>
      <w:r w:rsidR="00865847">
        <w:rPr>
          <w:b/>
          <w:sz w:val="22"/>
        </w:rPr>
        <w:t>]</w:t>
      </w:r>
      <w:r>
        <w:rPr>
          <w:b/>
          <w:sz w:val="22"/>
        </w:rPr>
        <w:t xml:space="preserve"> </w:t>
      </w:r>
    </w:p>
    <w:p w14:paraId="6E483117" w14:textId="77777777" w:rsidR="00893BF4" w:rsidRDefault="00B5638F">
      <w:pPr>
        <w:spacing w:after="0" w:line="259" w:lineRule="auto"/>
        <w:ind w:left="0" w:firstLine="0"/>
        <w:jc w:val="left"/>
      </w:pPr>
      <w:r>
        <w:t xml:space="preserve"> </w:t>
      </w:r>
    </w:p>
    <w:p w14:paraId="6290349E" w14:textId="77777777" w:rsidR="00893BF4" w:rsidRDefault="00B5638F">
      <w:pPr>
        <w:spacing w:after="213" w:line="259" w:lineRule="auto"/>
        <w:ind w:left="53" w:firstLine="0"/>
        <w:jc w:val="center"/>
      </w:pPr>
      <w:r>
        <w:rPr>
          <w:b/>
          <w:sz w:val="22"/>
        </w:rPr>
        <w:t xml:space="preserve"> </w:t>
      </w:r>
    </w:p>
    <w:p w14:paraId="513F7594" w14:textId="77777777" w:rsidR="00893BF4" w:rsidRDefault="00B5638F">
      <w:pPr>
        <w:spacing w:after="213" w:line="259" w:lineRule="auto"/>
        <w:ind w:left="53" w:firstLine="0"/>
        <w:jc w:val="center"/>
      </w:pPr>
      <w:r>
        <w:rPr>
          <w:b/>
          <w:sz w:val="22"/>
        </w:rPr>
        <w:t xml:space="preserve"> </w:t>
      </w:r>
    </w:p>
    <w:p w14:paraId="0A8E82FD" w14:textId="77777777" w:rsidR="00893BF4" w:rsidRDefault="00B5638F">
      <w:pPr>
        <w:spacing w:after="218" w:line="259" w:lineRule="auto"/>
        <w:ind w:left="53" w:firstLine="0"/>
        <w:jc w:val="center"/>
      </w:pPr>
      <w:r>
        <w:rPr>
          <w:b/>
          <w:sz w:val="22"/>
        </w:rPr>
        <w:t xml:space="preserve"> </w:t>
      </w:r>
    </w:p>
    <w:p w14:paraId="1843DDAF" w14:textId="77777777" w:rsidR="00893BF4" w:rsidRDefault="00B5638F">
      <w:pPr>
        <w:spacing w:after="213" w:line="259" w:lineRule="auto"/>
        <w:ind w:left="53" w:firstLine="0"/>
        <w:jc w:val="center"/>
      </w:pPr>
      <w:r>
        <w:rPr>
          <w:b/>
          <w:sz w:val="22"/>
        </w:rPr>
        <w:t xml:space="preserve"> </w:t>
      </w:r>
    </w:p>
    <w:p w14:paraId="7E9C37C5" w14:textId="77777777" w:rsidR="00893BF4" w:rsidRDefault="00B5638F">
      <w:pPr>
        <w:spacing w:after="213" w:line="259" w:lineRule="auto"/>
        <w:ind w:left="53" w:firstLine="0"/>
        <w:jc w:val="center"/>
      </w:pPr>
      <w:r>
        <w:rPr>
          <w:b/>
          <w:sz w:val="22"/>
        </w:rPr>
        <w:t xml:space="preserve"> </w:t>
      </w:r>
    </w:p>
    <w:p w14:paraId="4A147F6B" w14:textId="77777777" w:rsidR="00893BF4" w:rsidRDefault="00B5638F">
      <w:pPr>
        <w:spacing w:after="213" w:line="259" w:lineRule="auto"/>
        <w:ind w:left="53" w:firstLine="0"/>
        <w:jc w:val="center"/>
      </w:pPr>
      <w:r>
        <w:rPr>
          <w:b/>
          <w:sz w:val="22"/>
        </w:rPr>
        <w:t xml:space="preserve"> </w:t>
      </w:r>
    </w:p>
    <w:p w14:paraId="0F6919A5" w14:textId="77777777" w:rsidR="00893BF4" w:rsidRDefault="00B5638F">
      <w:pPr>
        <w:spacing w:after="218" w:line="259" w:lineRule="auto"/>
        <w:ind w:left="53" w:firstLine="0"/>
        <w:jc w:val="center"/>
      </w:pPr>
      <w:r>
        <w:rPr>
          <w:b/>
          <w:sz w:val="22"/>
        </w:rPr>
        <w:t xml:space="preserve"> </w:t>
      </w:r>
    </w:p>
    <w:p w14:paraId="5E756DB0" w14:textId="6BD24BC5" w:rsidR="00893BF4" w:rsidRDefault="00893BF4">
      <w:pPr>
        <w:spacing w:after="0" w:line="259" w:lineRule="auto"/>
        <w:ind w:left="0" w:firstLine="0"/>
        <w:jc w:val="left"/>
      </w:pPr>
    </w:p>
    <w:p w14:paraId="59FDDE17" w14:textId="77777777" w:rsidR="00893BF4" w:rsidRDefault="00B5638F">
      <w:pPr>
        <w:spacing w:after="0" w:line="259" w:lineRule="auto"/>
        <w:ind w:left="117" w:firstLine="0"/>
        <w:jc w:val="center"/>
      </w:pPr>
      <w:r>
        <w:rPr>
          <w:noProof/>
        </w:rPr>
        <w:drawing>
          <wp:inline distT="0" distB="0" distL="0" distR="0" wp14:anchorId="1FC00315" wp14:editId="24430A08">
            <wp:extent cx="850392" cy="579120"/>
            <wp:effectExtent l="0" t="0" r="0" b="0"/>
            <wp:docPr id="3009" name="Picture 3009"/>
            <wp:cNvGraphicFramePr/>
            <a:graphic xmlns:a="http://schemas.openxmlformats.org/drawingml/2006/main">
              <a:graphicData uri="http://schemas.openxmlformats.org/drawingml/2006/picture">
                <pic:pic xmlns:pic="http://schemas.openxmlformats.org/drawingml/2006/picture">
                  <pic:nvPicPr>
                    <pic:cNvPr id="3009" name="Picture 3009"/>
                    <pic:cNvPicPr/>
                  </pic:nvPicPr>
                  <pic:blipFill>
                    <a:blip r:embed="rId9"/>
                    <a:stretch>
                      <a:fillRect/>
                    </a:stretch>
                  </pic:blipFill>
                  <pic:spPr>
                    <a:xfrm>
                      <a:off x="0" y="0"/>
                      <a:ext cx="850392" cy="579120"/>
                    </a:xfrm>
                    <a:prstGeom prst="rect">
                      <a:avLst/>
                    </a:prstGeom>
                  </pic:spPr>
                </pic:pic>
              </a:graphicData>
            </a:graphic>
          </wp:inline>
        </w:drawing>
      </w:r>
      <w:r>
        <w:rPr>
          <w:b/>
          <w:sz w:val="36"/>
        </w:rPr>
        <w:t xml:space="preserve"> </w:t>
      </w:r>
    </w:p>
    <w:p w14:paraId="7B3DFA6F" w14:textId="77777777" w:rsidR="00893BF4" w:rsidRDefault="00B5638F">
      <w:pPr>
        <w:spacing w:after="0" w:line="259" w:lineRule="auto"/>
        <w:ind w:left="88" w:firstLine="0"/>
        <w:jc w:val="center"/>
      </w:pPr>
      <w:r>
        <w:rPr>
          <w:b/>
          <w:sz w:val="36"/>
        </w:rPr>
        <w:t xml:space="preserve"> </w:t>
      </w:r>
    </w:p>
    <w:p w14:paraId="13BD6B9D" w14:textId="77777777" w:rsidR="00893BF4" w:rsidRDefault="00B5638F">
      <w:pPr>
        <w:pStyle w:val="Heading1"/>
        <w:jc w:val="right"/>
      </w:pPr>
      <w:bookmarkStart w:id="0" w:name="_Toc220413994"/>
      <w:r>
        <w:t>SMIL ARCHIVAL POLICY</w:t>
      </w:r>
      <w:bookmarkEnd w:id="0"/>
      <w:r>
        <w:rPr>
          <w:vertAlign w:val="subscript"/>
        </w:rPr>
        <w:t xml:space="preserve"> </w:t>
      </w:r>
    </w:p>
    <w:p w14:paraId="64D6201A" w14:textId="77777777" w:rsidR="00893BF4" w:rsidRDefault="00B5638F">
      <w:pPr>
        <w:spacing w:after="214" w:line="259" w:lineRule="auto"/>
        <w:ind w:left="0" w:firstLine="0"/>
        <w:jc w:val="left"/>
      </w:pPr>
      <w:r>
        <w:rPr>
          <w:b/>
          <w:sz w:val="4"/>
        </w:rPr>
        <w:t xml:space="preserve"> </w:t>
      </w:r>
    </w:p>
    <w:tbl>
      <w:tblPr>
        <w:tblStyle w:val="TableGrid"/>
        <w:tblW w:w="8222" w:type="dxa"/>
        <w:tblInd w:w="562" w:type="dxa"/>
        <w:tblCellMar>
          <w:top w:w="52" w:type="dxa"/>
          <w:left w:w="107" w:type="dxa"/>
          <w:right w:w="115" w:type="dxa"/>
        </w:tblCellMar>
        <w:tblLook w:val="04A0" w:firstRow="1" w:lastRow="0" w:firstColumn="1" w:lastColumn="0" w:noHBand="0" w:noVBand="1"/>
      </w:tblPr>
      <w:tblGrid>
        <w:gridCol w:w="4111"/>
        <w:gridCol w:w="4111"/>
      </w:tblGrid>
      <w:tr w:rsidR="00893BF4" w14:paraId="5F7EA500" w14:textId="77777777" w:rsidTr="009038C6">
        <w:trPr>
          <w:trHeight w:val="287"/>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059A7CE3" w14:textId="77777777" w:rsidR="00893BF4" w:rsidRDefault="00B5638F">
            <w:pPr>
              <w:spacing w:after="0" w:line="259" w:lineRule="auto"/>
              <w:ind w:left="0" w:firstLine="0"/>
              <w:jc w:val="left"/>
            </w:pPr>
            <w:r>
              <w:rPr>
                <w:b/>
              </w:rPr>
              <w:t xml:space="preserve">Document No. </w:t>
            </w:r>
          </w:p>
        </w:tc>
        <w:tc>
          <w:tcPr>
            <w:tcW w:w="4111" w:type="dxa"/>
            <w:tcBorders>
              <w:top w:val="single" w:sz="4" w:space="0" w:color="000000"/>
              <w:left w:val="single" w:sz="4" w:space="0" w:color="000000"/>
              <w:bottom w:val="single" w:sz="4" w:space="0" w:color="000000"/>
              <w:right w:val="single" w:sz="4" w:space="0" w:color="000000"/>
            </w:tcBorders>
          </w:tcPr>
          <w:p w14:paraId="12B5B21C" w14:textId="77777777" w:rsidR="00893BF4" w:rsidRDefault="00B5638F">
            <w:pPr>
              <w:spacing w:after="0" w:line="259" w:lineRule="auto"/>
              <w:ind w:left="0" w:firstLine="0"/>
              <w:jc w:val="left"/>
            </w:pPr>
            <w:r>
              <w:t xml:space="preserve">001 </w:t>
            </w:r>
          </w:p>
        </w:tc>
      </w:tr>
      <w:tr w:rsidR="00893BF4" w14:paraId="6DA703A1" w14:textId="77777777" w:rsidTr="009038C6">
        <w:trPr>
          <w:trHeight w:val="288"/>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188CE01F" w14:textId="77777777" w:rsidR="00893BF4" w:rsidRDefault="00B5638F">
            <w:pPr>
              <w:spacing w:after="0" w:line="259" w:lineRule="auto"/>
              <w:ind w:left="0" w:firstLine="0"/>
              <w:jc w:val="left"/>
            </w:pPr>
            <w:r>
              <w:rPr>
                <w:b/>
              </w:rPr>
              <w:t xml:space="preserve">Date of First Approval </w:t>
            </w:r>
          </w:p>
        </w:tc>
        <w:tc>
          <w:tcPr>
            <w:tcW w:w="4111" w:type="dxa"/>
            <w:tcBorders>
              <w:top w:val="single" w:sz="4" w:space="0" w:color="000000"/>
              <w:left w:val="single" w:sz="4" w:space="0" w:color="000000"/>
              <w:bottom w:val="single" w:sz="4" w:space="0" w:color="000000"/>
              <w:right w:val="single" w:sz="4" w:space="0" w:color="000000"/>
            </w:tcBorders>
          </w:tcPr>
          <w:p w14:paraId="6F7EC70C" w14:textId="141D7E5C" w:rsidR="00893BF4" w:rsidRDefault="009038C6">
            <w:pPr>
              <w:spacing w:after="0" w:line="259" w:lineRule="auto"/>
              <w:ind w:left="0" w:firstLine="0"/>
              <w:jc w:val="left"/>
            </w:pPr>
            <w:r>
              <w:t>0</w:t>
            </w:r>
            <w:r w:rsidR="00B5638F">
              <w:t>6</w:t>
            </w:r>
            <w:r w:rsidR="00B5638F">
              <w:rPr>
                <w:vertAlign w:val="superscript"/>
              </w:rPr>
              <w:t>th</w:t>
            </w:r>
            <w:r w:rsidR="00B5638F">
              <w:t xml:space="preserve"> November</w:t>
            </w:r>
            <w:r>
              <w:t xml:space="preserve">, </w:t>
            </w:r>
            <w:r w:rsidR="00B5638F">
              <w:t xml:space="preserve">2015 </w:t>
            </w:r>
          </w:p>
        </w:tc>
      </w:tr>
      <w:tr w:rsidR="00893BF4" w14:paraId="3187253D" w14:textId="77777777" w:rsidTr="009038C6">
        <w:trPr>
          <w:trHeight w:val="283"/>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3B432376" w14:textId="77777777" w:rsidR="00893BF4" w:rsidRDefault="00B5638F">
            <w:pPr>
              <w:spacing w:after="0" w:line="259" w:lineRule="auto"/>
              <w:ind w:left="0" w:firstLine="0"/>
              <w:jc w:val="left"/>
            </w:pPr>
            <w:r>
              <w:rPr>
                <w:b/>
              </w:rPr>
              <w:t xml:space="preserve">Last Amended on </w:t>
            </w:r>
          </w:p>
        </w:tc>
        <w:tc>
          <w:tcPr>
            <w:tcW w:w="4111" w:type="dxa"/>
            <w:tcBorders>
              <w:top w:val="single" w:sz="4" w:space="0" w:color="000000"/>
              <w:left w:val="single" w:sz="4" w:space="0" w:color="000000"/>
              <w:bottom w:val="single" w:sz="4" w:space="0" w:color="000000"/>
              <w:right w:val="single" w:sz="4" w:space="0" w:color="000000"/>
            </w:tcBorders>
          </w:tcPr>
          <w:p w14:paraId="19B435F8" w14:textId="0845EE80" w:rsidR="00893BF4" w:rsidRDefault="009038C6">
            <w:pPr>
              <w:spacing w:after="0" w:line="259" w:lineRule="auto"/>
              <w:ind w:left="0" w:firstLine="0"/>
              <w:jc w:val="left"/>
            </w:pPr>
            <w:r>
              <w:t>0</w:t>
            </w:r>
            <w:r w:rsidR="00F57C58">
              <w:t>6</w:t>
            </w:r>
            <w:r w:rsidR="00F57C58" w:rsidRPr="00F57C58">
              <w:rPr>
                <w:vertAlign w:val="superscript"/>
              </w:rPr>
              <w:t>th</w:t>
            </w:r>
            <w:r w:rsidR="00F57C58">
              <w:t xml:space="preserve"> February, 2026</w:t>
            </w:r>
          </w:p>
        </w:tc>
      </w:tr>
      <w:tr w:rsidR="00893BF4" w14:paraId="0D90C680" w14:textId="77777777" w:rsidTr="009038C6">
        <w:trPr>
          <w:trHeight w:val="288"/>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28AC6D34" w14:textId="77777777" w:rsidR="00893BF4" w:rsidRDefault="00B5638F">
            <w:pPr>
              <w:spacing w:after="0" w:line="259" w:lineRule="auto"/>
              <w:ind w:left="0" w:firstLine="0"/>
              <w:jc w:val="left"/>
            </w:pPr>
            <w:r>
              <w:rPr>
                <w:b/>
              </w:rPr>
              <w:t xml:space="preserve">Last Version </w:t>
            </w:r>
          </w:p>
        </w:tc>
        <w:tc>
          <w:tcPr>
            <w:tcW w:w="4111" w:type="dxa"/>
            <w:tcBorders>
              <w:top w:val="single" w:sz="4" w:space="0" w:color="000000"/>
              <w:left w:val="single" w:sz="4" w:space="0" w:color="000000"/>
              <w:bottom w:val="single" w:sz="4" w:space="0" w:color="000000"/>
              <w:right w:val="single" w:sz="4" w:space="0" w:color="000000"/>
            </w:tcBorders>
          </w:tcPr>
          <w:p w14:paraId="79E627C6" w14:textId="77777777" w:rsidR="00893BF4" w:rsidRDefault="00B5638F">
            <w:pPr>
              <w:spacing w:after="0" w:line="259" w:lineRule="auto"/>
              <w:ind w:left="0" w:firstLine="0"/>
              <w:jc w:val="left"/>
            </w:pPr>
            <w:r>
              <w:t xml:space="preserve">NA </w:t>
            </w:r>
          </w:p>
        </w:tc>
      </w:tr>
      <w:tr w:rsidR="00893BF4" w14:paraId="3D32DC24" w14:textId="77777777" w:rsidTr="009038C6">
        <w:trPr>
          <w:trHeight w:val="283"/>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061BE1D0" w14:textId="77777777" w:rsidR="00893BF4" w:rsidRDefault="00B5638F">
            <w:pPr>
              <w:spacing w:after="0" w:line="259" w:lineRule="auto"/>
              <w:ind w:left="0" w:firstLine="0"/>
              <w:jc w:val="left"/>
            </w:pPr>
            <w:r>
              <w:rPr>
                <w:b/>
              </w:rPr>
              <w:t xml:space="preserve">Current Version </w:t>
            </w:r>
          </w:p>
        </w:tc>
        <w:tc>
          <w:tcPr>
            <w:tcW w:w="4111" w:type="dxa"/>
            <w:tcBorders>
              <w:top w:val="single" w:sz="4" w:space="0" w:color="000000"/>
              <w:left w:val="single" w:sz="4" w:space="0" w:color="000000"/>
              <w:bottom w:val="single" w:sz="4" w:space="0" w:color="000000"/>
              <w:right w:val="single" w:sz="4" w:space="0" w:color="000000"/>
            </w:tcBorders>
          </w:tcPr>
          <w:p w14:paraId="76B29CB6" w14:textId="77777777" w:rsidR="00893BF4" w:rsidRDefault="00B5638F">
            <w:pPr>
              <w:spacing w:after="0" w:line="259" w:lineRule="auto"/>
              <w:ind w:left="0" w:firstLine="0"/>
              <w:jc w:val="left"/>
            </w:pPr>
            <w:r>
              <w:t xml:space="preserve">01 </w:t>
            </w:r>
          </w:p>
        </w:tc>
      </w:tr>
      <w:tr w:rsidR="00893BF4" w14:paraId="3FB16771" w14:textId="77777777" w:rsidTr="009038C6">
        <w:trPr>
          <w:trHeight w:val="325"/>
        </w:trPr>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63342BD1" w14:textId="77777777" w:rsidR="00893BF4" w:rsidRDefault="00B5638F">
            <w:pPr>
              <w:spacing w:after="0" w:line="259" w:lineRule="auto"/>
              <w:ind w:left="0" w:firstLine="0"/>
              <w:jc w:val="left"/>
            </w:pPr>
            <w:r>
              <w:rPr>
                <w:b/>
              </w:rPr>
              <w:t xml:space="preserve">Approved by the Board of Directors </w:t>
            </w:r>
          </w:p>
        </w:tc>
        <w:tc>
          <w:tcPr>
            <w:tcW w:w="4111" w:type="dxa"/>
            <w:tcBorders>
              <w:top w:val="single" w:sz="4" w:space="0" w:color="000000"/>
              <w:left w:val="single" w:sz="4" w:space="0" w:color="000000"/>
              <w:bottom w:val="single" w:sz="4" w:space="0" w:color="000000"/>
              <w:right w:val="single" w:sz="4" w:space="0" w:color="000000"/>
            </w:tcBorders>
          </w:tcPr>
          <w:p w14:paraId="4599FDFB" w14:textId="68C98E45" w:rsidR="00893BF4" w:rsidRDefault="00B5638F">
            <w:pPr>
              <w:spacing w:after="0" w:line="259" w:lineRule="auto"/>
              <w:ind w:left="0" w:firstLine="0"/>
              <w:jc w:val="left"/>
            </w:pPr>
            <w:r>
              <w:t xml:space="preserve">Sd/- </w:t>
            </w:r>
          </w:p>
        </w:tc>
      </w:tr>
    </w:tbl>
    <w:p w14:paraId="13DA2B0D" w14:textId="77777777" w:rsidR="00893BF4" w:rsidRDefault="00B5638F">
      <w:pPr>
        <w:spacing w:after="218" w:line="259" w:lineRule="auto"/>
        <w:ind w:left="0" w:firstLine="0"/>
        <w:jc w:val="left"/>
      </w:pPr>
      <w:r>
        <w:rPr>
          <w:b/>
          <w:sz w:val="22"/>
        </w:rPr>
        <w:t xml:space="preserve"> </w:t>
      </w:r>
    </w:p>
    <w:p w14:paraId="33B252C3" w14:textId="77777777" w:rsidR="00893BF4" w:rsidRDefault="00B5638F">
      <w:pPr>
        <w:spacing w:after="213" w:line="259" w:lineRule="auto"/>
        <w:ind w:left="0" w:firstLine="0"/>
        <w:jc w:val="left"/>
        <w:rPr>
          <w:b/>
          <w:sz w:val="22"/>
        </w:rPr>
      </w:pPr>
      <w:r>
        <w:rPr>
          <w:b/>
          <w:sz w:val="22"/>
        </w:rPr>
        <w:t xml:space="preserve"> </w:t>
      </w:r>
    </w:p>
    <w:p w14:paraId="77684BC4" w14:textId="77777777" w:rsidR="008C6F21" w:rsidRDefault="008C6F21">
      <w:pPr>
        <w:spacing w:after="213" w:line="259" w:lineRule="auto"/>
        <w:ind w:left="0" w:firstLine="0"/>
        <w:jc w:val="left"/>
        <w:rPr>
          <w:b/>
          <w:sz w:val="22"/>
        </w:rPr>
      </w:pPr>
    </w:p>
    <w:p w14:paraId="743FFE19" w14:textId="77777777" w:rsidR="008C6F21" w:rsidRDefault="008C6F21">
      <w:pPr>
        <w:spacing w:after="213" w:line="259" w:lineRule="auto"/>
        <w:ind w:left="0" w:firstLine="0"/>
        <w:jc w:val="left"/>
        <w:rPr>
          <w:b/>
          <w:sz w:val="22"/>
        </w:rPr>
      </w:pPr>
    </w:p>
    <w:p w14:paraId="789DBB3E" w14:textId="77777777" w:rsidR="008C6F21" w:rsidRDefault="008C6F21">
      <w:pPr>
        <w:spacing w:after="213" w:line="259" w:lineRule="auto"/>
        <w:ind w:left="0" w:firstLine="0"/>
        <w:jc w:val="left"/>
        <w:rPr>
          <w:b/>
          <w:sz w:val="22"/>
        </w:rPr>
      </w:pPr>
    </w:p>
    <w:p w14:paraId="0F07F633" w14:textId="77777777" w:rsidR="008C6F21" w:rsidRDefault="008C6F21">
      <w:pPr>
        <w:spacing w:after="213" w:line="259" w:lineRule="auto"/>
        <w:ind w:left="0" w:firstLine="0"/>
        <w:jc w:val="left"/>
      </w:pPr>
    </w:p>
    <w:p w14:paraId="5B1DCFCA" w14:textId="77777777" w:rsidR="00893BF4" w:rsidRDefault="00B5638F">
      <w:pPr>
        <w:spacing w:after="213" w:line="259" w:lineRule="auto"/>
        <w:ind w:left="0" w:firstLine="0"/>
        <w:jc w:val="left"/>
      </w:pPr>
      <w:r>
        <w:rPr>
          <w:b/>
          <w:sz w:val="22"/>
        </w:rPr>
        <w:t xml:space="preserve"> </w:t>
      </w:r>
    </w:p>
    <w:p w14:paraId="21B96721" w14:textId="77777777" w:rsidR="00893BF4" w:rsidRDefault="00B5638F">
      <w:pPr>
        <w:spacing w:after="218" w:line="259" w:lineRule="auto"/>
        <w:ind w:left="0" w:firstLine="0"/>
        <w:jc w:val="left"/>
      </w:pPr>
      <w:r>
        <w:rPr>
          <w:b/>
          <w:sz w:val="22"/>
        </w:rPr>
        <w:t xml:space="preserve"> </w:t>
      </w:r>
    </w:p>
    <w:p w14:paraId="60B6224C" w14:textId="77777777" w:rsidR="00893BF4" w:rsidRDefault="00B5638F">
      <w:pPr>
        <w:spacing w:after="213" w:line="259" w:lineRule="auto"/>
        <w:ind w:left="0" w:firstLine="0"/>
        <w:jc w:val="left"/>
      </w:pPr>
      <w:r>
        <w:rPr>
          <w:b/>
          <w:sz w:val="22"/>
        </w:rPr>
        <w:t xml:space="preserve"> </w:t>
      </w:r>
    </w:p>
    <w:p w14:paraId="464E981F" w14:textId="77777777" w:rsidR="00893BF4" w:rsidRDefault="00B5638F">
      <w:pPr>
        <w:spacing w:after="213" w:line="259" w:lineRule="auto"/>
        <w:ind w:left="0" w:firstLine="0"/>
        <w:jc w:val="left"/>
      </w:pPr>
      <w:r>
        <w:rPr>
          <w:b/>
          <w:sz w:val="22"/>
        </w:rPr>
        <w:t xml:space="preserve"> </w:t>
      </w:r>
    </w:p>
    <w:p w14:paraId="502EC749" w14:textId="77777777" w:rsidR="00893BF4" w:rsidRDefault="00B5638F">
      <w:pPr>
        <w:spacing w:after="213" w:line="259" w:lineRule="auto"/>
        <w:ind w:left="0" w:firstLine="0"/>
        <w:jc w:val="left"/>
      </w:pPr>
      <w:r>
        <w:rPr>
          <w:b/>
          <w:sz w:val="22"/>
        </w:rPr>
        <w:t xml:space="preserve"> </w:t>
      </w:r>
    </w:p>
    <w:p w14:paraId="2DA0162F" w14:textId="77777777" w:rsidR="00893BF4" w:rsidRDefault="00B5638F">
      <w:pPr>
        <w:spacing w:after="218" w:line="259" w:lineRule="auto"/>
        <w:ind w:left="0" w:firstLine="0"/>
        <w:jc w:val="left"/>
      </w:pPr>
      <w:r>
        <w:rPr>
          <w:b/>
          <w:sz w:val="22"/>
        </w:rPr>
        <w:t xml:space="preserve"> </w:t>
      </w:r>
    </w:p>
    <w:p w14:paraId="50F4CAE8" w14:textId="6335F767" w:rsidR="00893BF4" w:rsidRDefault="00B5638F">
      <w:pPr>
        <w:spacing w:after="213" w:line="259" w:lineRule="auto"/>
        <w:ind w:left="0" w:firstLine="0"/>
        <w:jc w:val="left"/>
        <w:rPr>
          <w:b/>
          <w:sz w:val="22"/>
        </w:rPr>
      </w:pPr>
      <w:r>
        <w:rPr>
          <w:b/>
          <w:sz w:val="22"/>
        </w:rPr>
        <w:t xml:space="preserve"> </w:t>
      </w:r>
    </w:p>
    <w:p w14:paraId="1A9D1BF3" w14:textId="77777777" w:rsidR="008C6F21" w:rsidRDefault="008C6F21">
      <w:pPr>
        <w:spacing w:after="213" w:line="259" w:lineRule="auto"/>
        <w:ind w:left="0" w:firstLine="0"/>
        <w:jc w:val="left"/>
      </w:pPr>
    </w:p>
    <w:p w14:paraId="78F65A19" w14:textId="77777777" w:rsidR="009038C6" w:rsidRDefault="009038C6">
      <w:pPr>
        <w:spacing w:after="213" w:line="259" w:lineRule="auto"/>
        <w:ind w:left="0" w:firstLine="0"/>
        <w:jc w:val="left"/>
      </w:pPr>
    </w:p>
    <w:p w14:paraId="6B68DAA5" w14:textId="77777777" w:rsidR="009038C6" w:rsidRDefault="009038C6">
      <w:pPr>
        <w:spacing w:after="213" w:line="259" w:lineRule="auto"/>
        <w:ind w:left="0" w:firstLine="0"/>
        <w:jc w:val="left"/>
      </w:pPr>
    </w:p>
    <w:p w14:paraId="737D5238" w14:textId="77777777" w:rsidR="009038C6" w:rsidRDefault="009038C6">
      <w:pPr>
        <w:spacing w:after="213" w:line="259" w:lineRule="auto"/>
        <w:ind w:left="0" w:firstLine="0"/>
        <w:jc w:val="left"/>
      </w:pPr>
    </w:p>
    <w:p w14:paraId="15CDCE8B" w14:textId="002F001F" w:rsidR="00893BF4" w:rsidRDefault="00B5638F" w:rsidP="002A419B">
      <w:pPr>
        <w:spacing w:after="213" w:line="259" w:lineRule="auto"/>
        <w:ind w:left="0" w:firstLine="0"/>
        <w:jc w:val="left"/>
      </w:pPr>
      <w:r>
        <w:rPr>
          <w:b/>
          <w:sz w:val="22"/>
        </w:rPr>
        <w:t xml:space="preserve"> </w:t>
      </w:r>
      <w:r>
        <w:rPr>
          <w:b/>
        </w:rPr>
        <w:t>A.</w:t>
      </w:r>
      <w:r>
        <w:rPr>
          <w:rFonts w:ascii="Arial" w:eastAsia="Arial" w:hAnsi="Arial" w:cs="Arial"/>
          <w:b/>
        </w:rPr>
        <w:t xml:space="preserve"> </w:t>
      </w:r>
      <w:r>
        <w:rPr>
          <w:b/>
        </w:rPr>
        <w:t xml:space="preserve">PREAMBLE: </w:t>
      </w:r>
    </w:p>
    <w:p w14:paraId="577C1C62" w14:textId="6842D353" w:rsidR="00893BF4" w:rsidRDefault="00B5638F">
      <w:pPr>
        <w:ind w:left="-5" w:right="-9"/>
      </w:pPr>
      <w:r>
        <w:t xml:space="preserve">In terms of Regulation 30(8) of SEBI (Listing Obligations and Disclosure Requirements) Regulations, 2015, the Company shall disclose on its website all such events or information which has been disclosed to stock exchange(s) under regulation 30 of regulations, and such disclosures shall be hosted on the website of Company for a minimum period of five years and thereafter as per the </w:t>
      </w:r>
      <w:r>
        <w:rPr>
          <w:i/>
        </w:rPr>
        <w:t>archival policy</w:t>
      </w:r>
      <w:r>
        <w:t xml:space="preserve"> of Company, as disclosed on its website. </w:t>
      </w:r>
    </w:p>
    <w:p w14:paraId="4F59B36B" w14:textId="0B2E2998" w:rsidR="00893BF4" w:rsidRDefault="002A419B">
      <w:pPr>
        <w:spacing w:after="373"/>
        <w:ind w:left="-5" w:right="-9"/>
      </w:pPr>
      <w:r>
        <w:t xml:space="preserve">In this context the policy on Archival of Documents (“Policy”) is being framed and implemented </w:t>
      </w:r>
    </w:p>
    <w:p w14:paraId="3F44E537" w14:textId="2A4651B9" w:rsidR="00893BF4" w:rsidRDefault="006D4DBF">
      <w:pPr>
        <w:numPr>
          <w:ilvl w:val="0"/>
          <w:numId w:val="1"/>
        </w:numPr>
        <w:spacing w:after="219" w:line="259" w:lineRule="auto"/>
        <w:ind w:hanging="451"/>
        <w:jc w:val="left"/>
      </w:pPr>
      <w:r w:rsidRPr="006D4DBF">
        <w:rPr>
          <w:b/>
        </w:rPr>
        <w:t>OBJECTIVE OF THE POLICY</w:t>
      </w:r>
      <w:r w:rsidR="00B5638F">
        <w:rPr>
          <w:b/>
        </w:rPr>
        <w:t xml:space="preserve">: </w:t>
      </w:r>
    </w:p>
    <w:p w14:paraId="77C49954" w14:textId="6FA4A56B" w:rsidR="00893BF4" w:rsidRDefault="00B5638F" w:rsidP="00D37C53">
      <w:pPr>
        <w:spacing w:after="5"/>
        <w:ind w:left="-5" w:right="-9"/>
      </w:pPr>
      <w:r>
        <w:t xml:space="preserve">Any disclosure of events or information which has been submitted by the Company to the Stock Exchanges under Regulation 30 of the said Regulations will be hosted on the website of the Company for a minimum period of 5 years from the date of its disclosure and shall thereafter be archived from the website of the Company for a period of 3 years. </w:t>
      </w:r>
    </w:p>
    <w:p w14:paraId="5991AEB3" w14:textId="1358E05C" w:rsidR="00AF3BD5" w:rsidRDefault="00AF3BD5" w:rsidP="00C96B85">
      <w:pPr>
        <w:pStyle w:val="ListParagraph"/>
        <w:numPr>
          <w:ilvl w:val="0"/>
          <w:numId w:val="2"/>
        </w:numPr>
        <w:spacing w:after="205"/>
        <w:ind w:right="-9"/>
      </w:pPr>
      <w:r>
        <w:t xml:space="preserve">Classification of Records: </w:t>
      </w:r>
      <w:r w:rsidRPr="00AF3BD5">
        <w:t>All records and disclosures shall be classified based on their nature, sensitivity, and regulatory requirement. The categories shall include, but are not limited to:</w:t>
      </w:r>
    </w:p>
    <w:p w14:paraId="6347A2E2" w14:textId="09F77D25" w:rsidR="00AF3BD5" w:rsidRDefault="00AF3BD5" w:rsidP="00C96B85">
      <w:pPr>
        <w:pStyle w:val="ListParagraph"/>
        <w:numPr>
          <w:ilvl w:val="1"/>
          <w:numId w:val="2"/>
        </w:numPr>
        <w:spacing w:after="205"/>
        <w:ind w:right="-9"/>
      </w:pPr>
      <w:r w:rsidRPr="00AF3BD5">
        <w:t>Financial Records: Annual reports, quarterly financial statements, audit reports.</w:t>
      </w:r>
    </w:p>
    <w:p w14:paraId="5271FDD1" w14:textId="77777777" w:rsidR="00AF3BD5" w:rsidRDefault="00AF3BD5" w:rsidP="00C96B85">
      <w:pPr>
        <w:pStyle w:val="ListParagraph"/>
        <w:numPr>
          <w:ilvl w:val="1"/>
          <w:numId w:val="2"/>
        </w:numPr>
        <w:spacing w:after="205"/>
        <w:ind w:right="-9"/>
      </w:pPr>
      <w:r w:rsidRPr="00AF3BD5">
        <w:t>Corporate Governance Records: Board resolutions, committee minutes, policies.</w:t>
      </w:r>
    </w:p>
    <w:p w14:paraId="36C08854" w14:textId="7A230FD1" w:rsidR="00AF3BD5" w:rsidRDefault="00AF3BD5" w:rsidP="00C96B85">
      <w:pPr>
        <w:pStyle w:val="ListParagraph"/>
        <w:numPr>
          <w:ilvl w:val="1"/>
          <w:numId w:val="2"/>
        </w:numPr>
        <w:spacing w:after="205"/>
        <w:ind w:right="-9"/>
      </w:pPr>
      <w:r>
        <w:t>Regulatory Disclosures: Events or information required under SEBI Regulations and other statutory filings.</w:t>
      </w:r>
    </w:p>
    <w:p w14:paraId="2426D0AC" w14:textId="4F762FC1" w:rsidR="00AF3BD5" w:rsidRDefault="00AF3BD5" w:rsidP="00C96B85">
      <w:pPr>
        <w:pStyle w:val="ListParagraph"/>
        <w:numPr>
          <w:ilvl w:val="1"/>
          <w:numId w:val="2"/>
        </w:numPr>
        <w:spacing w:after="205"/>
        <w:ind w:right="-9"/>
      </w:pPr>
      <w:r w:rsidRPr="00AF3BD5">
        <w:t>Operational Records: Contracts, agreements, correspondence relevant to company operations.</w:t>
      </w:r>
      <w:r>
        <w:t xml:space="preserve"> </w:t>
      </w:r>
      <w:r w:rsidRPr="00AF3BD5">
        <w:t>Each class of records will be handled and archived according to its classification, retention period, and sensitivity level.</w:t>
      </w:r>
    </w:p>
    <w:p w14:paraId="3845F577" w14:textId="77777777" w:rsidR="00C96B85" w:rsidRDefault="00C96B85" w:rsidP="00F64DD5">
      <w:pPr>
        <w:pStyle w:val="ListParagraph"/>
        <w:spacing w:after="205"/>
        <w:ind w:left="1425" w:right="-9" w:firstLine="0"/>
      </w:pPr>
    </w:p>
    <w:p w14:paraId="75C75198" w14:textId="6540DB45" w:rsidR="00AF3BD5" w:rsidRDefault="00AF3BD5" w:rsidP="00AF3BD5">
      <w:pPr>
        <w:pStyle w:val="ListParagraph"/>
        <w:numPr>
          <w:ilvl w:val="0"/>
          <w:numId w:val="2"/>
        </w:numPr>
        <w:spacing w:after="205"/>
        <w:ind w:right="-9"/>
      </w:pPr>
      <w:r>
        <w:t xml:space="preserve">Storage and Preservation: </w:t>
      </w:r>
      <w:r w:rsidRPr="00AF3BD5">
        <w:t>All archival records shall be stored in a secure, reliable, and retrievable manner. Digital records must be backed up on redundant storage systems with restricted access. Physical records, if retained, shall be stored in a fireproof, climate-controlled environment. Preservation measures shall ensure that records remain intact, legible, and usable for the duration of their retention period.</w:t>
      </w:r>
    </w:p>
    <w:p w14:paraId="7FD9BE09" w14:textId="77777777" w:rsidR="00C96B85" w:rsidRDefault="00C96B85" w:rsidP="00F64DD5">
      <w:pPr>
        <w:pStyle w:val="ListParagraph"/>
        <w:spacing w:after="205"/>
        <w:ind w:left="705" w:right="-9" w:firstLine="0"/>
      </w:pPr>
    </w:p>
    <w:p w14:paraId="49CA1916" w14:textId="04131D96" w:rsidR="00AF3BD5" w:rsidRDefault="00AF3BD5" w:rsidP="00AF3BD5">
      <w:pPr>
        <w:pStyle w:val="ListParagraph"/>
        <w:numPr>
          <w:ilvl w:val="0"/>
          <w:numId w:val="2"/>
        </w:numPr>
        <w:spacing w:after="205"/>
        <w:ind w:right="-9"/>
      </w:pPr>
      <w:r>
        <w:t xml:space="preserve">Access and Retrieval: </w:t>
      </w:r>
      <w:r w:rsidRPr="00AF3BD5">
        <w:t>Access to archived records shall be limited to authorized personnel based on role and responsibility. Retrieval requests must be formally documented and approved by the Head of Compliance or an appointed custodian. Access logs shall be maintained to monitor who accesses or modifies archived records, ensuring traceability and accountability.</w:t>
      </w:r>
    </w:p>
    <w:p w14:paraId="01A20B9D" w14:textId="77777777" w:rsidR="00C96B85" w:rsidRDefault="00C96B85" w:rsidP="00F64DD5">
      <w:pPr>
        <w:pStyle w:val="ListParagraph"/>
        <w:spacing w:after="205"/>
        <w:ind w:left="705" w:right="-9" w:firstLine="0"/>
      </w:pPr>
    </w:p>
    <w:p w14:paraId="67934DC2" w14:textId="7985349A" w:rsidR="00AF3BD5" w:rsidRDefault="00AF3BD5" w:rsidP="00AF3BD5">
      <w:pPr>
        <w:pStyle w:val="ListParagraph"/>
        <w:numPr>
          <w:ilvl w:val="0"/>
          <w:numId w:val="2"/>
        </w:numPr>
        <w:spacing w:after="205"/>
        <w:ind w:right="-9"/>
      </w:pPr>
      <w:r>
        <w:lastRenderedPageBreak/>
        <w:t xml:space="preserve">Disposal and Destruction: </w:t>
      </w:r>
      <w:r w:rsidRPr="00AF3BD5">
        <w:t>Records that have exceeded their retention period shall be disposed of in a secure manner, preventing unauthorized access or misuse. Digital records shall be permanently deleted using secure erasure methods, and physical records shall be shredded or incinerated. Disposal shall be documented, specifying the record type, date of destruction, and responsible personnel.</w:t>
      </w:r>
    </w:p>
    <w:p w14:paraId="34AFACE5" w14:textId="77777777" w:rsidR="00F64DD5" w:rsidRDefault="00F64DD5" w:rsidP="00F64DD5">
      <w:pPr>
        <w:pStyle w:val="ListParagraph"/>
      </w:pPr>
    </w:p>
    <w:p w14:paraId="66A4FF9B" w14:textId="10B038FA" w:rsidR="00AF3BD5" w:rsidRDefault="00C96B85" w:rsidP="00AF3BD5">
      <w:pPr>
        <w:pStyle w:val="ListParagraph"/>
        <w:numPr>
          <w:ilvl w:val="0"/>
          <w:numId w:val="2"/>
        </w:numPr>
        <w:spacing w:after="205"/>
        <w:ind w:right="-9"/>
      </w:pPr>
      <w:r>
        <w:t>Roles and responsibilities</w:t>
      </w:r>
    </w:p>
    <w:p w14:paraId="33549C26" w14:textId="77777777" w:rsidR="000E52BA" w:rsidRDefault="000E52BA" w:rsidP="000E52BA">
      <w:pPr>
        <w:pStyle w:val="ListParagraph"/>
      </w:pPr>
    </w:p>
    <w:p w14:paraId="3ED9FA85" w14:textId="77777777" w:rsidR="00C96B85" w:rsidRDefault="00C96B85" w:rsidP="00885BFC">
      <w:pPr>
        <w:pStyle w:val="ListParagraph"/>
        <w:numPr>
          <w:ilvl w:val="1"/>
          <w:numId w:val="2"/>
        </w:numPr>
        <w:spacing w:before="120" w:after="120" w:line="360" w:lineRule="auto"/>
        <w:ind w:left="1276" w:right="-11"/>
        <w:contextualSpacing w:val="0"/>
      </w:pPr>
      <w:r>
        <w:t>Board of Directors: Approves the archival policy and any significant amendments.</w:t>
      </w:r>
    </w:p>
    <w:p w14:paraId="217995A9" w14:textId="77777777" w:rsidR="00C96B85" w:rsidRDefault="00C96B85" w:rsidP="00885BFC">
      <w:pPr>
        <w:pStyle w:val="ListParagraph"/>
        <w:numPr>
          <w:ilvl w:val="1"/>
          <w:numId w:val="2"/>
        </w:numPr>
        <w:spacing w:before="120" w:after="120" w:line="360" w:lineRule="auto"/>
        <w:ind w:left="1276" w:right="-11"/>
        <w:contextualSpacing w:val="0"/>
      </w:pPr>
      <w:r>
        <w:t>Head of Compliance / Company Secretary: Ensures policy implementation, regulatory compliance, and oversees archival processes.</w:t>
      </w:r>
    </w:p>
    <w:p w14:paraId="569DE20C" w14:textId="77777777" w:rsidR="00C96B85" w:rsidRDefault="00C96B85" w:rsidP="00885BFC">
      <w:pPr>
        <w:pStyle w:val="ListParagraph"/>
        <w:numPr>
          <w:ilvl w:val="1"/>
          <w:numId w:val="2"/>
        </w:numPr>
        <w:spacing w:before="120" w:after="120" w:line="360" w:lineRule="auto"/>
        <w:ind w:left="1276" w:right="-11"/>
        <w:contextualSpacing w:val="0"/>
      </w:pPr>
      <w:r>
        <w:t>Department Heads: Identify and categorize records in their department and ensure timely submission for archiving.</w:t>
      </w:r>
    </w:p>
    <w:p w14:paraId="252FB1DA" w14:textId="5A896B6C" w:rsidR="00C96B85" w:rsidRDefault="00C96B85" w:rsidP="00885BFC">
      <w:pPr>
        <w:pStyle w:val="ListParagraph"/>
        <w:numPr>
          <w:ilvl w:val="1"/>
          <w:numId w:val="2"/>
        </w:numPr>
        <w:spacing w:before="120" w:after="120" w:line="360" w:lineRule="auto"/>
        <w:ind w:left="1276" w:right="-11"/>
        <w:contextualSpacing w:val="0"/>
      </w:pPr>
      <w:r>
        <w:t>IT / Records Management Team: Maintains the archival storage systems, backups, and secure access controls. Responsibilities for each category of records shall be clearly assigned and periodically reviewed.</w:t>
      </w:r>
    </w:p>
    <w:p w14:paraId="23864C1D" w14:textId="77777777" w:rsidR="00893BF4" w:rsidRDefault="00B5638F">
      <w:pPr>
        <w:numPr>
          <w:ilvl w:val="0"/>
          <w:numId w:val="1"/>
        </w:numPr>
        <w:spacing w:after="219" w:line="259" w:lineRule="auto"/>
        <w:ind w:hanging="451"/>
        <w:jc w:val="left"/>
      </w:pPr>
      <w:r>
        <w:rPr>
          <w:b/>
        </w:rPr>
        <w:t>AMENDMENTS TO THE POLICY</w:t>
      </w:r>
      <w:r>
        <w:t xml:space="preserve">:  </w:t>
      </w:r>
    </w:p>
    <w:p w14:paraId="1325019F" w14:textId="582EBC26" w:rsidR="005621FE" w:rsidRDefault="00B5638F">
      <w:pPr>
        <w:pStyle w:val="ListParagraph"/>
        <w:spacing w:after="205"/>
        <w:ind w:left="705" w:right="-9" w:firstLine="0"/>
      </w:pPr>
      <w:r>
        <w:t xml:space="preserve">The Board shall have the power to clarify any doubts or rectify any anomalies that may exist in connection with the effective execution of this Policy. The Board reserves the right to amend this Policy from time to time based on changing requirements as prescribed by SEBI/Stock Exchange(s) or any other appropriate Statutory Authority. </w:t>
      </w:r>
    </w:p>
    <w:p w14:paraId="3105B5BF" w14:textId="77777777" w:rsidR="00F64DD5" w:rsidRDefault="00F64DD5" w:rsidP="00F64DD5">
      <w:pPr>
        <w:spacing w:after="219" w:line="259" w:lineRule="auto"/>
        <w:jc w:val="left"/>
      </w:pPr>
    </w:p>
    <w:p w14:paraId="6F569604" w14:textId="77777777" w:rsidR="00893BF4" w:rsidRDefault="00B5638F" w:rsidP="00502F0A">
      <w:pPr>
        <w:spacing w:after="4" w:line="266" w:lineRule="auto"/>
        <w:ind w:left="-5"/>
        <w:rPr>
          <w:b/>
          <w:i/>
          <w:sz w:val="22"/>
          <w:szCs w:val="22"/>
        </w:rPr>
      </w:pPr>
      <w:r w:rsidRPr="00502F0A">
        <w:rPr>
          <w:b/>
          <w:i/>
          <w:sz w:val="22"/>
          <w:szCs w:val="22"/>
        </w:rPr>
        <w:t xml:space="preserve">If case of any inconsistency between this Policy and the Indian regulations, the requirements of the Indian regulations shall prevail. </w:t>
      </w:r>
    </w:p>
    <w:p w14:paraId="20D7B79B" w14:textId="77777777" w:rsidR="00502F0A" w:rsidRPr="00502F0A" w:rsidRDefault="00502F0A" w:rsidP="00502F0A">
      <w:pPr>
        <w:spacing w:after="4" w:line="266" w:lineRule="auto"/>
        <w:ind w:left="-5"/>
        <w:rPr>
          <w:sz w:val="22"/>
          <w:szCs w:val="22"/>
        </w:rPr>
      </w:pPr>
    </w:p>
    <w:p w14:paraId="33D16D70" w14:textId="62550736" w:rsidR="00893BF4" w:rsidRPr="00502F0A" w:rsidRDefault="00B5638F" w:rsidP="00502F0A">
      <w:pPr>
        <w:spacing w:after="85" w:line="259" w:lineRule="auto"/>
        <w:ind w:left="0" w:firstLine="0"/>
        <w:rPr>
          <w:sz w:val="22"/>
          <w:szCs w:val="22"/>
        </w:rPr>
      </w:pPr>
      <w:r w:rsidRPr="00502F0A">
        <w:rPr>
          <w:b/>
          <w:i/>
          <w:sz w:val="14"/>
          <w:szCs w:val="22"/>
        </w:rPr>
        <w:t xml:space="preserve"> </w:t>
      </w:r>
      <w:r w:rsidRPr="00502F0A">
        <w:rPr>
          <w:b/>
          <w:i/>
          <w:sz w:val="22"/>
          <w:szCs w:val="22"/>
        </w:rPr>
        <w:t xml:space="preserve">In case of any amendment(s), clarification(s), circular(s) etc. issued by the relevant authorities including SEBI, not being consistent with the provisions laid down under this Policy, then such amendment(s), clarification(s), circular(s) etc. shall prevail upon the provisions hereunder and this Policy shall stand amended accordingly from the effective date as laid down under such amendment(s), clarification(s), circular(s) etc.  </w:t>
      </w:r>
    </w:p>
    <w:p w14:paraId="77F5BCF3" w14:textId="2FE58115" w:rsidR="00893BF4" w:rsidRDefault="00B5638F" w:rsidP="00502F0A">
      <w:pPr>
        <w:spacing w:after="175" w:line="259" w:lineRule="auto"/>
        <w:ind w:left="0" w:firstLine="0"/>
        <w:jc w:val="center"/>
      </w:pPr>
      <w:r>
        <w:rPr>
          <w:b/>
          <w:sz w:val="23"/>
        </w:rPr>
        <w:t>************************</w:t>
      </w:r>
    </w:p>
    <w:sectPr w:rsidR="00893BF4">
      <w:footerReference w:type="even" r:id="rId10"/>
      <w:footerReference w:type="default" r:id="rId11"/>
      <w:footerReference w:type="first" r:id="rId12"/>
      <w:pgSz w:w="12240" w:h="15840"/>
      <w:pgMar w:top="1440" w:right="1438" w:bottom="1683" w:left="1440" w:header="720"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1B78" w14:textId="77777777" w:rsidR="00B0083C" w:rsidRDefault="00B0083C">
      <w:pPr>
        <w:spacing w:after="0" w:line="240" w:lineRule="auto"/>
      </w:pPr>
      <w:r>
        <w:separator/>
      </w:r>
    </w:p>
  </w:endnote>
  <w:endnote w:type="continuationSeparator" w:id="0">
    <w:p w14:paraId="24CF6651" w14:textId="77777777" w:rsidR="00B0083C" w:rsidRDefault="00B00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73B8" w14:textId="77777777" w:rsidR="00893BF4" w:rsidRDefault="00B5638F">
    <w:pPr>
      <w:tabs>
        <w:tab w:val="center" w:pos="4514"/>
      </w:tabs>
      <w:spacing w:after="0" w:line="259" w:lineRule="auto"/>
      <w:ind w:left="0" w:firstLine="0"/>
      <w:jc w:val="left"/>
    </w:pPr>
    <w:r>
      <w:rPr>
        <w:noProof/>
      </w:rPr>
      <w:drawing>
        <wp:anchor distT="0" distB="0" distL="114300" distR="114300" simplePos="0" relativeHeight="251658240" behindDoc="0" locked="0" layoutInCell="1" allowOverlap="0" wp14:anchorId="5C85A602" wp14:editId="0E3E89D9">
          <wp:simplePos x="0" y="0"/>
          <wp:positionH relativeFrom="page">
            <wp:posOffset>935736</wp:posOffset>
          </wp:positionH>
          <wp:positionV relativeFrom="page">
            <wp:posOffset>9040368</wp:posOffset>
          </wp:positionV>
          <wp:extent cx="585216" cy="365760"/>
          <wp:effectExtent l="0" t="0" r="0" b="0"/>
          <wp:wrapSquare wrapText="bothSides"/>
          <wp:docPr id="2190" name="Picture 2190"/>
          <wp:cNvGraphicFramePr/>
          <a:graphic xmlns:a="http://schemas.openxmlformats.org/drawingml/2006/main">
            <a:graphicData uri="http://schemas.openxmlformats.org/drawingml/2006/picture">
              <pic:pic xmlns:pic="http://schemas.openxmlformats.org/drawingml/2006/picture">
                <pic:nvPicPr>
                  <pic:cNvPr id="2190" name="Picture 2190"/>
                  <pic:cNvPicPr/>
                </pic:nvPicPr>
                <pic:blipFill>
                  <a:blip r:embed="rId1"/>
                  <a:stretch>
                    <a:fillRect/>
                  </a:stretch>
                </pic:blipFill>
                <pic:spPr>
                  <a:xfrm>
                    <a:off x="0" y="0"/>
                    <a:ext cx="585216" cy="36576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sidR="00893BF4">
        <w:rPr>
          <w:b/>
          <w:sz w:val="22"/>
        </w:rPr>
        <w:t>4</w:t>
      </w:r>
    </w:fldSimple>
    <w:r>
      <w:rPr>
        <w:rFonts w:ascii="Calibri" w:eastAsia="Calibri" w:hAnsi="Calibri" w:cs="Calibri"/>
        <w:sz w:val="22"/>
      </w:rPr>
      <w:t xml:space="preserve"> </w:t>
    </w:r>
  </w:p>
  <w:p w14:paraId="722C3F5E" w14:textId="77777777" w:rsidR="00893BF4" w:rsidRDefault="00B5638F">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BB2A" w14:textId="77777777" w:rsidR="00893BF4" w:rsidRDefault="00B5638F">
    <w:pPr>
      <w:tabs>
        <w:tab w:val="center" w:pos="4514"/>
      </w:tabs>
      <w:spacing w:after="0" w:line="259" w:lineRule="auto"/>
      <w:ind w:left="0" w:firstLine="0"/>
      <w:jc w:val="left"/>
    </w:pPr>
    <w:r>
      <w:rPr>
        <w:noProof/>
      </w:rPr>
      <w:drawing>
        <wp:anchor distT="0" distB="0" distL="114300" distR="114300" simplePos="0" relativeHeight="251659264" behindDoc="0" locked="0" layoutInCell="1" allowOverlap="0" wp14:anchorId="103B0B9F" wp14:editId="443998AB">
          <wp:simplePos x="0" y="0"/>
          <wp:positionH relativeFrom="page">
            <wp:posOffset>935736</wp:posOffset>
          </wp:positionH>
          <wp:positionV relativeFrom="page">
            <wp:posOffset>9040368</wp:posOffset>
          </wp:positionV>
          <wp:extent cx="585216" cy="365760"/>
          <wp:effectExtent l="0" t="0" r="0" b="0"/>
          <wp:wrapSquare wrapText="bothSides"/>
          <wp:docPr id="863450198" name="Picture 863450198"/>
          <wp:cNvGraphicFramePr/>
          <a:graphic xmlns:a="http://schemas.openxmlformats.org/drawingml/2006/main">
            <a:graphicData uri="http://schemas.openxmlformats.org/drawingml/2006/picture">
              <pic:pic xmlns:pic="http://schemas.openxmlformats.org/drawingml/2006/picture">
                <pic:nvPicPr>
                  <pic:cNvPr id="2190" name="Picture 2190"/>
                  <pic:cNvPicPr/>
                </pic:nvPicPr>
                <pic:blipFill>
                  <a:blip r:embed="rId1"/>
                  <a:stretch>
                    <a:fillRect/>
                  </a:stretch>
                </pic:blipFill>
                <pic:spPr>
                  <a:xfrm>
                    <a:off x="0" y="0"/>
                    <a:ext cx="585216" cy="36576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sidR="00893BF4">
        <w:rPr>
          <w:b/>
          <w:sz w:val="22"/>
        </w:rPr>
        <w:t>4</w:t>
      </w:r>
    </w:fldSimple>
    <w:r>
      <w:rPr>
        <w:rFonts w:ascii="Calibri" w:eastAsia="Calibri" w:hAnsi="Calibri" w:cs="Calibri"/>
        <w:sz w:val="22"/>
      </w:rPr>
      <w:t xml:space="preserve"> </w:t>
    </w:r>
  </w:p>
  <w:p w14:paraId="57721F69" w14:textId="77777777" w:rsidR="00893BF4" w:rsidRDefault="00B5638F">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3EFE" w14:textId="77777777" w:rsidR="00893BF4" w:rsidRDefault="00B5638F">
    <w:pPr>
      <w:tabs>
        <w:tab w:val="center" w:pos="4514"/>
      </w:tabs>
      <w:spacing w:after="0" w:line="259" w:lineRule="auto"/>
      <w:ind w:left="0" w:firstLine="0"/>
      <w:jc w:val="left"/>
    </w:pPr>
    <w:r>
      <w:rPr>
        <w:noProof/>
      </w:rPr>
      <w:drawing>
        <wp:anchor distT="0" distB="0" distL="114300" distR="114300" simplePos="0" relativeHeight="251660288" behindDoc="0" locked="0" layoutInCell="1" allowOverlap="0" wp14:anchorId="70A2C404" wp14:editId="2F46BCDF">
          <wp:simplePos x="0" y="0"/>
          <wp:positionH relativeFrom="page">
            <wp:posOffset>935736</wp:posOffset>
          </wp:positionH>
          <wp:positionV relativeFrom="page">
            <wp:posOffset>9040368</wp:posOffset>
          </wp:positionV>
          <wp:extent cx="585216" cy="365760"/>
          <wp:effectExtent l="0" t="0" r="0" b="0"/>
          <wp:wrapSquare wrapText="bothSides"/>
          <wp:docPr id="2081774121" name="Picture 2081774121"/>
          <wp:cNvGraphicFramePr/>
          <a:graphic xmlns:a="http://schemas.openxmlformats.org/drawingml/2006/main">
            <a:graphicData uri="http://schemas.openxmlformats.org/drawingml/2006/picture">
              <pic:pic xmlns:pic="http://schemas.openxmlformats.org/drawingml/2006/picture">
                <pic:nvPicPr>
                  <pic:cNvPr id="2190" name="Picture 2190"/>
                  <pic:cNvPicPr/>
                </pic:nvPicPr>
                <pic:blipFill>
                  <a:blip r:embed="rId1"/>
                  <a:stretch>
                    <a:fillRect/>
                  </a:stretch>
                </pic:blipFill>
                <pic:spPr>
                  <a:xfrm>
                    <a:off x="0" y="0"/>
                    <a:ext cx="585216" cy="36576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sidR="00893BF4">
        <w:rPr>
          <w:b/>
          <w:sz w:val="22"/>
        </w:rPr>
        <w:t>4</w:t>
      </w:r>
    </w:fldSimple>
    <w:r>
      <w:rPr>
        <w:rFonts w:ascii="Calibri" w:eastAsia="Calibri" w:hAnsi="Calibri" w:cs="Calibri"/>
        <w:sz w:val="22"/>
      </w:rPr>
      <w:t xml:space="preserve"> </w:t>
    </w:r>
  </w:p>
  <w:p w14:paraId="59B976B4" w14:textId="77777777" w:rsidR="00893BF4" w:rsidRDefault="00B5638F">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CF1B" w14:textId="77777777" w:rsidR="00B0083C" w:rsidRDefault="00B0083C">
      <w:pPr>
        <w:spacing w:after="0" w:line="240" w:lineRule="auto"/>
      </w:pPr>
      <w:r>
        <w:separator/>
      </w:r>
    </w:p>
  </w:footnote>
  <w:footnote w:type="continuationSeparator" w:id="0">
    <w:p w14:paraId="06D65B70" w14:textId="77777777" w:rsidR="00B0083C" w:rsidRDefault="00B00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1E6F"/>
    <w:multiLevelType w:val="hybridMultilevel"/>
    <w:tmpl w:val="754091D0"/>
    <w:lvl w:ilvl="0" w:tplc="62C0E2B0">
      <w:start w:val="2"/>
      <w:numFmt w:val="upperLetter"/>
      <w:lvlText w:val="%1."/>
      <w:lvlJc w:val="left"/>
      <w:pPr>
        <w:ind w:left="4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FA070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8A6A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601F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4429DB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B073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B0D39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F9E677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4674A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4F5EC1"/>
    <w:multiLevelType w:val="hybridMultilevel"/>
    <w:tmpl w:val="A64ADA9A"/>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267156977">
    <w:abstractNumId w:val="0"/>
  </w:num>
  <w:num w:numId="2" w16cid:durableId="389429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BF4"/>
    <w:rsid w:val="000D5D7B"/>
    <w:rsid w:val="000E52BA"/>
    <w:rsid w:val="00184D6F"/>
    <w:rsid w:val="001B23F9"/>
    <w:rsid w:val="001D0CD4"/>
    <w:rsid w:val="001D3D40"/>
    <w:rsid w:val="001D510C"/>
    <w:rsid w:val="001D7883"/>
    <w:rsid w:val="001F3521"/>
    <w:rsid w:val="002A419B"/>
    <w:rsid w:val="002A6F12"/>
    <w:rsid w:val="00486227"/>
    <w:rsid w:val="00502F0A"/>
    <w:rsid w:val="005621FE"/>
    <w:rsid w:val="005C4779"/>
    <w:rsid w:val="00633B98"/>
    <w:rsid w:val="00647482"/>
    <w:rsid w:val="006D4DBF"/>
    <w:rsid w:val="006D5CDC"/>
    <w:rsid w:val="0071102A"/>
    <w:rsid w:val="00865847"/>
    <w:rsid w:val="00885BFC"/>
    <w:rsid w:val="00893BF4"/>
    <w:rsid w:val="008C4441"/>
    <w:rsid w:val="008C6F21"/>
    <w:rsid w:val="009038C6"/>
    <w:rsid w:val="009D71D1"/>
    <w:rsid w:val="00A7244C"/>
    <w:rsid w:val="00AF3BD5"/>
    <w:rsid w:val="00B0083C"/>
    <w:rsid w:val="00B5638F"/>
    <w:rsid w:val="00C96B85"/>
    <w:rsid w:val="00CC23B0"/>
    <w:rsid w:val="00D27FB0"/>
    <w:rsid w:val="00D37C53"/>
    <w:rsid w:val="00DB3269"/>
    <w:rsid w:val="00EA48C7"/>
    <w:rsid w:val="00F57C58"/>
    <w:rsid w:val="00F645CF"/>
    <w:rsid w:val="00F64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4624"/>
  <w15:docId w15:val="{864FEBDF-8A8E-4687-9E5E-D3892320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1" w:line="270"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right="2459"/>
      <w:jc w:val="center"/>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C23B0"/>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AF3BD5"/>
    <w:rPr>
      <w:sz w:val="16"/>
      <w:szCs w:val="16"/>
    </w:rPr>
  </w:style>
  <w:style w:type="paragraph" w:styleId="CommentText">
    <w:name w:val="annotation text"/>
    <w:basedOn w:val="Normal"/>
    <w:link w:val="CommentTextChar"/>
    <w:uiPriority w:val="99"/>
    <w:unhideWhenUsed/>
    <w:rsid w:val="00AF3BD5"/>
    <w:pPr>
      <w:spacing w:line="240" w:lineRule="auto"/>
    </w:pPr>
    <w:rPr>
      <w:sz w:val="20"/>
      <w:szCs w:val="20"/>
    </w:rPr>
  </w:style>
  <w:style w:type="character" w:customStyle="1" w:styleId="CommentTextChar">
    <w:name w:val="Comment Text Char"/>
    <w:basedOn w:val="DefaultParagraphFont"/>
    <w:link w:val="CommentText"/>
    <w:uiPriority w:val="99"/>
    <w:rsid w:val="00AF3BD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F3BD5"/>
    <w:rPr>
      <w:b/>
      <w:bCs/>
    </w:rPr>
  </w:style>
  <w:style w:type="character" w:customStyle="1" w:styleId="CommentSubjectChar">
    <w:name w:val="Comment Subject Char"/>
    <w:basedOn w:val="CommentTextChar"/>
    <w:link w:val="CommentSubject"/>
    <w:uiPriority w:val="99"/>
    <w:semiHidden/>
    <w:rsid w:val="00AF3BD5"/>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AF3BD5"/>
    <w:pPr>
      <w:ind w:left="720"/>
      <w:contextualSpacing/>
    </w:pPr>
  </w:style>
  <w:style w:type="paragraph" w:styleId="TOCHeading">
    <w:name w:val="TOC Heading"/>
    <w:basedOn w:val="Heading1"/>
    <w:next w:val="Normal"/>
    <w:uiPriority w:val="39"/>
    <w:unhideWhenUsed/>
    <w:qFormat/>
    <w:rsid w:val="001B23F9"/>
    <w:pPr>
      <w:spacing w:before="240"/>
      <w:ind w:right="0"/>
      <w:jc w:val="left"/>
      <w:outlineLvl w:val="9"/>
    </w:pPr>
    <w:rPr>
      <w:rFonts w:asciiTheme="majorHAnsi" w:eastAsiaTheme="majorEastAsia" w:hAnsiTheme="majorHAnsi" w:cstheme="majorBid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1B23F9"/>
    <w:pPr>
      <w:spacing w:after="100"/>
      <w:ind w:left="0"/>
    </w:pPr>
  </w:style>
  <w:style w:type="character" w:styleId="Hyperlink">
    <w:name w:val="Hyperlink"/>
    <w:basedOn w:val="DefaultParagraphFont"/>
    <w:uiPriority w:val="99"/>
    <w:unhideWhenUsed/>
    <w:rsid w:val="001B23F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5BE50-E12F-4986-AAC1-49433D37DAF9}">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Archival Policy - Kick Off - Upload</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Archival Policy - Kick Off - Upload</dc:title>
  <dc:subject/>
  <dc:creator>chirag.bhagat</dc:creator>
  <cp:keywords/>
  <cp:lastModifiedBy>Iti Goyal</cp:lastModifiedBy>
  <cp:revision>10</cp:revision>
  <dcterms:created xsi:type="dcterms:W3CDTF">2026-02-18T11:15:00Z</dcterms:created>
  <dcterms:modified xsi:type="dcterms:W3CDTF">2026-03-05T06:37:00Z</dcterms:modified>
</cp:coreProperties>
</file>